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ascii="宋体" w:hAnsi="宋体"/>
          <w:b/>
          <w:sz w:val="32"/>
          <w:szCs w:val="32"/>
        </w:rPr>
        <w:t>《</w:t>
      </w:r>
      <w:r>
        <w:rPr>
          <w:rFonts w:hint="eastAsia" w:ascii="宋体" w:hAnsi="宋体"/>
          <w:b/>
          <w:sz w:val="32"/>
          <w:szCs w:val="32"/>
        </w:rPr>
        <w:t>武义莲子流通规范</w:t>
      </w:r>
      <w:r>
        <w:rPr>
          <w:rFonts w:ascii="宋体" w:hAnsi="宋体"/>
          <w:b/>
          <w:sz w:val="32"/>
          <w:szCs w:val="32"/>
        </w:rPr>
        <w:t>》团体标准编制说明</w:t>
      </w:r>
    </w:p>
    <w:p>
      <w:pPr>
        <w:pStyle w:val="24"/>
        <w:spacing w:beforeLines="0" w:afterLines="0"/>
        <w:rPr>
          <w:rFonts w:hAnsi="黑体" w:cs="黑体"/>
          <w:sz w:val="24"/>
          <w:szCs w:val="24"/>
        </w:rPr>
      </w:pPr>
      <w:r>
        <w:rPr>
          <w:rFonts w:hint="eastAsia" w:hAnsi="黑体" w:cs="黑体"/>
          <w:sz w:val="24"/>
          <w:szCs w:val="24"/>
        </w:rPr>
        <w:t>一、项目来源：</w:t>
      </w:r>
    </w:p>
    <w:p>
      <w:pPr>
        <w:ind w:firstLine="420" w:firstLineChars="200"/>
      </w:pPr>
      <w:r>
        <w:rPr>
          <w:rFonts w:hint="eastAsia"/>
        </w:rPr>
        <w:t>根据武义县农村电子商务供应链体系建设项目（项目编号：HJZX2020-104）的要求，</w:t>
      </w:r>
      <w:r>
        <w:rPr>
          <w:rFonts w:hint="eastAsia" w:ascii="宋体" w:hAnsi="宋体" w:cs="宋体"/>
        </w:rPr>
        <w:t>结合行业标准和国家标准，针对武义当地2-3款特色农产品，会同各职能部门、龙头企业制定符合上行要求的团体标准。由</w:t>
      </w:r>
      <w:r>
        <w:rPr>
          <w:rFonts w:hint="eastAsia"/>
        </w:rPr>
        <w:t>浙江甲骨文超级码科技股份有限公司等单位成立起草工作组负责团体标准《武义莲子流通规范》草案稿的起草工作，并由武义县电子商务协会归口。</w:t>
      </w:r>
    </w:p>
    <w:p>
      <w:pPr>
        <w:pStyle w:val="24"/>
        <w:spacing w:beforeLines="0" w:afterLines="0"/>
        <w:rPr>
          <w:rFonts w:hAnsi="黑体" w:cs="黑体"/>
          <w:sz w:val="24"/>
          <w:szCs w:val="24"/>
        </w:rPr>
      </w:pPr>
      <w:r>
        <w:rPr>
          <w:rFonts w:hint="eastAsia" w:hAnsi="黑体" w:cs="黑体"/>
          <w:sz w:val="24"/>
          <w:szCs w:val="24"/>
        </w:rPr>
        <w:t>二、标准制定工作的目的与意义：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本标准适用于</w:t>
      </w:r>
      <w:r>
        <w:rPr>
          <w:rStyle w:val="42"/>
          <w:sz w:val="21"/>
          <w:szCs w:val="21"/>
        </w:rPr>
        <w:t>武义莲子</w:t>
      </w:r>
      <w:r>
        <w:rPr>
          <w:rStyle w:val="42"/>
          <w:rFonts w:hint="eastAsia"/>
          <w:sz w:val="21"/>
          <w:szCs w:val="21"/>
        </w:rPr>
        <w:t>及其干制品</w:t>
      </w:r>
      <w:r>
        <w:rPr>
          <w:rStyle w:val="42"/>
          <w:sz w:val="21"/>
          <w:szCs w:val="21"/>
        </w:rPr>
        <w:t>的包装、运输和销售</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莲子，为武义县特产，尤其以武义宣莲最为有名，</w:t>
      </w:r>
      <w:r>
        <w:rPr>
          <w:rFonts w:asciiTheme="minorEastAsia" w:hAnsiTheme="minorEastAsia" w:eastAsiaTheme="minorEastAsia" w:cstheme="minorEastAsia"/>
          <w:szCs w:val="21"/>
        </w:rPr>
        <w:t>以颗大粒圆、饱满肉厚、肉酥味美、营养丰富、药用价值高而</w:t>
      </w:r>
      <w:r>
        <w:rPr>
          <w:rFonts w:hint="eastAsia" w:asciiTheme="minorEastAsia" w:hAnsiTheme="minorEastAsia" w:eastAsiaTheme="minorEastAsia" w:cstheme="minorEastAsia"/>
          <w:szCs w:val="21"/>
        </w:rPr>
        <w:t>著称</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武义莲子栽培区主要分布于</w:t>
      </w:r>
      <w:r>
        <w:rPr>
          <w:rFonts w:asciiTheme="minorEastAsia" w:hAnsiTheme="minorEastAsia" w:eastAsiaTheme="minorEastAsia" w:cstheme="minorEastAsia"/>
          <w:szCs w:val="21"/>
        </w:rPr>
        <w:t>武义的柳城、西联、大源、泽村等乡镇</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去，莲子都是以小作坊的形式进行简单地干制而成的莲子干品，现阶段随着市场对武义莲子需求的不断提升，因深受消费者喜爱，莲子也开始了工厂化生产。近年来，生产武义莲子的企业规模逐年壮大销售额逐年增长。武义莲子逐渐出现在线下门店，商超以及线上超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往，对武义莲子流通的监测都仅仅是按照精检看莲子产品是否合格，这样很不规范。因为“莲子”这一食品在流通过程中存在一定的质量安全隐患。因此制定规范的武义莲子流通规范标准，可以填补武义莲子流通规范标准方面的空白，统一武义莲子流通规范的标准，有利于建立公平、有序的市场秩序，有利于稳定和提高产品质量，促进企业走质量效益型发展道路，增强企业素质，提高整个行业的市场竞争力，保护人体健康，维护消费者权益。同时为我国食品监管机构提供科学的执法依据。</w:t>
      </w:r>
    </w:p>
    <w:p>
      <w:pPr>
        <w:pStyle w:val="24"/>
        <w:spacing w:beforeLines="0" w:afterLines="0"/>
        <w:rPr>
          <w:rFonts w:hAnsi="黑体" w:cs="黑体"/>
          <w:sz w:val="24"/>
          <w:szCs w:val="24"/>
        </w:rPr>
      </w:pPr>
      <w:r>
        <w:rPr>
          <w:rFonts w:hint="eastAsia" w:hAnsi="黑体" w:cs="黑体"/>
          <w:sz w:val="24"/>
          <w:szCs w:val="24"/>
        </w:rPr>
        <w:t>三、与我国现有法律法规和其他国内外标准的关系：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目前未收集到有关莲子流通规范生产企业现有执行的食品安全国家标准及行业标准。</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与武义莲子流通规范产品相关的标准有：</w:t>
      </w:r>
      <w:r>
        <w:rPr>
          <w:rFonts w:asciiTheme="minorEastAsia" w:hAnsiTheme="minorEastAsia" w:eastAsiaTheme="minorEastAsia" w:cstheme="minorEastAsia"/>
          <w:szCs w:val="21"/>
        </w:rPr>
        <w:t>NY/T 1504-2007</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莲子</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 xml:space="preserve">DB32/T 2995-2016 </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莲子加工技术规程</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可供参考的标准有：</w:t>
      </w:r>
      <w:r>
        <w:rPr>
          <w:rFonts w:asciiTheme="minorEastAsia" w:hAnsiTheme="minorEastAsia" w:eastAsiaTheme="minorEastAsia" w:cstheme="minorEastAsia"/>
          <w:szCs w:val="21"/>
        </w:rPr>
        <w:t xml:space="preserve"> T/JXSP 001-2017</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赣南莲子</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DB32/T 2995-2016 </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莲子加工技术规程</w:t>
      </w:r>
      <w:r>
        <w:rPr>
          <w:rFonts w:hint="eastAsia" w:asciiTheme="minorEastAsia" w:hAnsiTheme="minorEastAsia" w:eastAsiaTheme="minorEastAsia" w:cstheme="minorEastAsia"/>
          <w:szCs w:val="21"/>
        </w:rPr>
        <w:t>》是地方标准，如果作为流通标准的话缺少产品的质量指标和产品特性指标，</w:t>
      </w:r>
      <w:r>
        <w:rPr>
          <w:rFonts w:asciiTheme="minorEastAsia" w:hAnsiTheme="minorEastAsia" w:eastAsiaTheme="minorEastAsia" w:cstheme="minorEastAsia"/>
          <w:szCs w:val="21"/>
        </w:rPr>
        <w:t>T/JXSP 001-2017</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赣南莲子</w:t>
      </w:r>
      <w:r>
        <w:rPr>
          <w:rFonts w:hint="eastAsia" w:asciiTheme="minorEastAsia" w:hAnsiTheme="minorEastAsia" w:eastAsiaTheme="minorEastAsia" w:cstheme="minorEastAsia"/>
          <w:szCs w:val="21"/>
        </w:rPr>
        <w:t>》是适合于当地的团体标准，无法适用于武义莲子流通规范的特色指标。农业部发布的</w:t>
      </w:r>
      <w:r>
        <w:rPr>
          <w:rFonts w:asciiTheme="minorEastAsia" w:hAnsiTheme="minorEastAsia" w:eastAsiaTheme="minorEastAsia" w:cstheme="minorEastAsia"/>
          <w:szCs w:val="21"/>
        </w:rPr>
        <w:t>NY/T 1504-2007 莲子</w:t>
      </w:r>
      <w:r>
        <w:rPr>
          <w:rFonts w:hint="eastAsia" w:asciiTheme="minorEastAsia" w:hAnsiTheme="minorEastAsia" w:eastAsiaTheme="minorEastAsia" w:cstheme="minorEastAsia"/>
          <w:szCs w:val="21"/>
        </w:rPr>
        <w:t>是仅规定了经绿色食品认证的莲子的产品标准，不适用于一般食品生产企业生产的莲子产品。</w:t>
      </w:r>
    </w:p>
    <w:p>
      <w:pPr>
        <w:pStyle w:val="24"/>
        <w:spacing w:beforeLines="0" w:afterLines="0"/>
        <w:rPr>
          <w:rFonts w:hAnsi="黑体" w:cs="黑体"/>
          <w:sz w:val="24"/>
          <w:szCs w:val="24"/>
        </w:rPr>
      </w:pPr>
      <w:r>
        <w:rPr>
          <w:rFonts w:hint="eastAsia" w:hAnsi="黑体" w:cs="黑体"/>
          <w:sz w:val="24"/>
          <w:szCs w:val="24"/>
        </w:rPr>
        <w:t>四、项目负责单位及标准制定主要工作过程：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本标准由</w:t>
      </w:r>
      <w:r>
        <w:rPr>
          <w:rFonts w:hint="eastAsia" w:ascii="宋体" w:hAnsi="宋体"/>
          <w:szCs w:val="21"/>
        </w:rPr>
        <w:t>浙江甲骨文超级码科技股份有限公司</w:t>
      </w:r>
      <w:r>
        <w:rPr>
          <w:rFonts w:hint="eastAsia" w:asciiTheme="minorEastAsia" w:hAnsiTheme="minorEastAsia" w:eastAsiaTheme="minorEastAsia" w:cstheme="minorEastAsia"/>
          <w:szCs w:val="21"/>
        </w:rPr>
        <w:t>组织专业技术人员成立工作组，安排人员分工，进行项目可行性分析，对项目的必要性和可行性进行充分论证；对武义莲子流通规范生产企业及作坊进行实地考查，对生产加工过程进行调研；同时对原辅料、产品的感官、理化、食品添加剂、非食用物质等各项指标进行大量检测并进行数据整理及分析，制定适合该类产品的标准。</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1、2020年</w:t>
      </w:r>
      <w:r>
        <w:rPr>
          <w:rFonts w:asciiTheme="minorEastAsia" w:hAnsiTheme="minorEastAsia" w:eastAsiaTheme="minorEastAsia" w:cstheme="minorEastAsia"/>
          <w:szCs w:val="21"/>
        </w:rPr>
        <w:t>10</w:t>
      </w:r>
      <w:r>
        <w:rPr>
          <w:rFonts w:hint="eastAsia" w:asciiTheme="minorEastAsia" w:hAnsiTheme="minorEastAsia" w:eastAsiaTheme="minorEastAsia" w:cstheme="minorEastAsia"/>
          <w:szCs w:val="21"/>
        </w:rPr>
        <w:t>月10日-1</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日，收集相关的国家标准、法律法规等信息。</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月5日-</w:t>
      </w:r>
      <w:r>
        <w:rPr>
          <w:rFonts w:hint="eastAsia" w:asciiTheme="minorEastAsia" w:hAnsiTheme="minorEastAsia" w:eastAsiaTheme="minorEastAsia" w:cstheme="minorEastAsia"/>
          <w:szCs w:val="21"/>
          <w:lang w:val="en-US" w:eastAsia="zh-CN"/>
        </w:rPr>
        <w:t>2021年3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日，收集、攥写和提交团体标准立项申请材料。</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日上午收到武义县电子商务协会予以立项文件并成立起草工作组。</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日下午完成《武义莲子流通规范》团体标准草案稿。并在工作组讨论后形成工作组讨论稿。</w:t>
      </w:r>
    </w:p>
    <w:p>
      <w:pPr>
        <w:pStyle w:val="41"/>
        <w:widowControl/>
        <w:numPr>
          <w:ilvl w:val="0"/>
          <w:numId w:val="0"/>
        </w:numPr>
        <w:autoSpaceDE/>
        <w:autoSpaceDN/>
        <w:spacing w:before="50" w:after="50"/>
        <w:ind w:firstLine="420" w:firstLineChars="200"/>
        <w:jc w:val="left"/>
        <w:outlineLvl w:val="3"/>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5、202</w:t>
      </w:r>
      <w:r>
        <w:rPr>
          <w:rFonts w:asciiTheme="minorEastAsia" w:hAnsiTheme="minorEastAsia" w:eastAsiaTheme="minorEastAsia" w:cstheme="minorEastAsia"/>
          <w:kern w:val="2"/>
          <w:sz w:val="21"/>
          <w:szCs w:val="21"/>
        </w:rPr>
        <w:t>1</w:t>
      </w:r>
      <w:r>
        <w:rPr>
          <w:rFonts w:hint="eastAsia" w:asciiTheme="minorEastAsia" w:hAnsiTheme="minorEastAsia" w:eastAsiaTheme="minorEastAsia" w:cstheme="minorEastAsia"/>
          <w:kern w:val="2"/>
          <w:sz w:val="21"/>
          <w:szCs w:val="21"/>
        </w:rPr>
        <w:t>年</w:t>
      </w: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rPr>
        <w:t>月</w:t>
      </w:r>
      <w:r>
        <w:rPr>
          <w:rFonts w:hint="eastAsia" w:asciiTheme="minorEastAsia" w:hAnsiTheme="minorEastAsia" w:eastAsiaTheme="minorEastAsia" w:cstheme="minorEastAsia"/>
          <w:kern w:val="2"/>
          <w:sz w:val="21"/>
          <w:szCs w:val="21"/>
          <w:lang w:val="en-US" w:eastAsia="zh-CN"/>
        </w:rPr>
        <w:t>15</w:t>
      </w:r>
      <w:bookmarkStart w:id="1" w:name="_GoBack"/>
      <w:bookmarkEnd w:id="1"/>
      <w:r>
        <w:rPr>
          <w:rFonts w:hint="eastAsia" w:asciiTheme="minorEastAsia" w:hAnsiTheme="minorEastAsia" w:eastAsiaTheme="minorEastAsia" w:cstheme="minorEastAsia"/>
          <w:kern w:val="2"/>
          <w:sz w:val="21"/>
          <w:szCs w:val="21"/>
        </w:rPr>
        <w:t>日在武义县电子商务服务中心召开专家研讨会：1.武义莲子流通规范定义将“</w:t>
      </w:r>
      <w:r>
        <w:rPr>
          <w:rFonts w:asciiTheme="minorEastAsia" w:hAnsiTheme="minorEastAsia" w:eastAsiaTheme="minorEastAsia" w:cstheme="minorEastAsia"/>
          <w:kern w:val="2"/>
          <w:sz w:val="21"/>
          <w:szCs w:val="21"/>
        </w:rPr>
        <w:t>圆粒莲</w:t>
      </w:r>
      <w:r>
        <w:rPr>
          <w:rFonts w:hint="eastAsia" w:asciiTheme="minorEastAsia" w:hAnsiTheme="minorEastAsia" w:eastAsiaTheme="minorEastAsia" w:cstheme="minorEastAsia"/>
          <w:kern w:val="2"/>
          <w:sz w:val="21"/>
          <w:szCs w:val="21"/>
        </w:rPr>
        <w:t>”修改为“</w:t>
      </w:r>
      <w:r>
        <w:rPr>
          <w:rFonts w:asciiTheme="minorEastAsia" w:hAnsiTheme="minorEastAsia" w:eastAsiaTheme="minorEastAsia" w:cstheme="minorEastAsia"/>
          <w:kern w:val="2"/>
          <w:sz w:val="21"/>
          <w:szCs w:val="21"/>
        </w:rPr>
        <w:t>圆粒红莲</w:t>
      </w:r>
      <w:r>
        <w:rPr>
          <w:rFonts w:hint="eastAsia" w:asciiTheme="minorEastAsia" w:hAnsiTheme="minorEastAsia" w:eastAsiaTheme="minorEastAsia" w:cstheme="minorEastAsia"/>
          <w:kern w:val="2"/>
          <w:sz w:val="21"/>
          <w:szCs w:val="21"/>
        </w:rPr>
        <w:t>”，适用于本地莲子品种；</w:t>
      </w:r>
      <w:r>
        <w:rPr>
          <w:rFonts w:asciiTheme="minorEastAsia" w:hAnsiTheme="minorEastAsia" w:eastAsiaTheme="minorEastAsia" w:cstheme="minorEastAsia"/>
          <w:kern w:val="2"/>
          <w:sz w:val="21"/>
          <w:szCs w:val="21"/>
        </w:rPr>
        <w:t xml:space="preserve"> 2.</w:t>
      </w:r>
      <w:r>
        <w:rPr>
          <w:rFonts w:hint="eastAsia" w:asciiTheme="minorEastAsia" w:hAnsiTheme="minorEastAsia" w:eastAsiaTheme="minorEastAsia" w:cstheme="minorEastAsia"/>
          <w:kern w:val="2"/>
          <w:sz w:val="21"/>
          <w:szCs w:val="21"/>
        </w:rPr>
        <w:t>感官指标中应增加“</w:t>
      </w:r>
      <w:r>
        <w:rPr>
          <w:szCs w:val="22"/>
        </w:rPr>
        <w:t>粒数/1000 g</w:t>
      </w:r>
      <w:r>
        <w:rPr>
          <w:rFonts w:hint="eastAsia"/>
          <w:szCs w:val="22"/>
        </w:rPr>
        <w:t>指标</w:t>
      </w:r>
      <w:r>
        <w:rPr>
          <w:rFonts w:hint="eastAsia" w:asciiTheme="minorEastAsia" w:hAnsiTheme="minorEastAsia" w:eastAsiaTheme="minorEastAsia" w:cstheme="minorEastAsia"/>
          <w:kern w:val="2"/>
          <w:sz w:val="21"/>
          <w:szCs w:val="21"/>
        </w:rPr>
        <w:t>”。3.文本4.3中“检验”应该为“感官检测”。4.文本4.</w:t>
      </w:r>
      <w:r>
        <w:rPr>
          <w:rFonts w:asciiTheme="minorEastAsia" w:hAnsiTheme="minorEastAsia" w:eastAsiaTheme="minorEastAsia" w:cstheme="minorEastAsia"/>
          <w:kern w:val="2"/>
          <w:sz w:val="21"/>
          <w:szCs w:val="21"/>
        </w:rPr>
        <w:t>4</w:t>
      </w:r>
      <w:r>
        <w:rPr>
          <w:rFonts w:hint="eastAsia" w:asciiTheme="minorEastAsia" w:hAnsiTheme="minorEastAsia" w:eastAsiaTheme="minorEastAsia" w:cstheme="minorEastAsia"/>
          <w:kern w:val="2"/>
          <w:sz w:val="21"/>
          <w:szCs w:val="21"/>
        </w:rPr>
        <w:t>卫生指标中增加“六六六、滴滴涕”农残。5.文本7.3.</w:t>
      </w:r>
      <w:r>
        <w:rPr>
          <w:rFonts w:asciiTheme="minorEastAsia" w:hAnsiTheme="minorEastAsia" w:eastAsiaTheme="minorEastAsia" w:cstheme="minorEastAsia"/>
          <w:kern w:val="2"/>
          <w:sz w:val="21"/>
          <w:szCs w:val="21"/>
        </w:rPr>
        <w:t>3</w:t>
      </w:r>
      <w:r>
        <w:rPr>
          <w:rFonts w:hint="eastAsia" w:asciiTheme="minorEastAsia" w:hAnsiTheme="minorEastAsia" w:eastAsiaTheme="minorEastAsia" w:cstheme="minorEastAsia"/>
          <w:kern w:val="2"/>
          <w:sz w:val="21"/>
          <w:szCs w:val="21"/>
        </w:rPr>
        <w:t>增加“对破损及受潮的包装必须立即更换”。6.文本8</w:t>
      </w:r>
      <w:r>
        <w:rPr>
          <w:rFonts w:asciiTheme="minorEastAsia" w:hAnsiTheme="minorEastAsia" w:eastAsiaTheme="minorEastAsia" w:cstheme="minorEastAsia"/>
          <w:kern w:val="2"/>
          <w:sz w:val="21"/>
          <w:szCs w:val="21"/>
        </w:rPr>
        <w:t>.1</w:t>
      </w:r>
      <w:r>
        <w:rPr>
          <w:rFonts w:hint="eastAsia" w:asciiTheme="minorEastAsia" w:hAnsiTheme="minorEastAsia" w:eastAsiaTheme="minorEastAsia" w:cstheme="minorEastAsia"/>
          <w:kern w:val="2"/>
          <w:sz w:val="21"/>
          <w:szCs w:val="21"/>
        </w:rPr>
        <w:t>中增加“</w:t>
      </w:r>
      <w:r>
        <w:rPr>
          <w:rStyle w:val="42"/>
        </w:rPr>
        <w:t>销售台账保存期限不得少于2年</w:t>
      </w:r>
      <w:r>
        <w:rPr>
          <w:rFonts w:hint="eastAsia" w:asciiTheme="minorEastAsia" w:hAnsiTheme="minorEastAsia" w:eastAsiaTheme="minorEastAsia" w:cstheme="minorEastAsia"/>
          <w:kern w:val="2"/>
          <w:sz w:val="21"/>
          <w:szCs w:val="21"/>
        </w:rPr>
        <w:t xml:space="preserve">”。 </w:t>
      </w:r>
      <w:r>
        <w:rPr>
          <w:rFonts w:asciiTheme="minorEastAsia" w:hAnsiTheme="minorEastAsia" w:eastAsiaTheme="minorEastAsia" w:cstheme="minorEastAsia"/>
          <w:kern w:val="2"/>
          <w:sz w:val="21"/>
          <w:szCs w:val="21"/>
        </w:rPr>
        <w:t>7</w:t>
      </w:r>
      <w:r>
        <w:rPr>
          <w:rFonts w:hint="eastAsia" w:asciiTheme="minorEastAsia" w:hAnsiTheme="minorEastAsia" w:eastAsiaTheme="minorEastAsia" w:cstheme="minorEastAsia"/>
          <w:kern w:val="2"/>
          <w:sz w:val="21"/>
          <w:szCs w:val="21"/>
        </w:rPr>
        <w:t>.文本8.</w:t>
      </w:r>
      <w:r>
        <w:rPr>
          <w:rFonts w:asciiTheme="minorEastAsia" w:hAnsiTheme="minorEastAsia" w:eastAsiaTheme="minorEastAsia" w:cstheme="minorEastAsia"/>
          <w:kern w:val="2"/>
          <w:sz w:val="21"/>
          <w:szCs w:val="21"/>
        </w:rPr>
        <w:t>3</w:t>
      </w:r>
      <w:r>
        <w:rPr>
          <w:rFonts w:hint="eastAsia" w:asciiTheme="minorEastAsia" w:hAnsiTheme="minorEastAsia" w:eastAsiaTheme="minorEastAsia" w:cstheme="minorEastAsia"/>
          <w:kern w:val="2"/>
          <w:sz w:val="21"/>
          <w:szCs w:val="21"/>
        </w:rPr>
        <w:t>中保质期应分情况说明清楚。如普通包装、真空包装、冷藏状态下的保质期。</w:t>
      </w:r>
    </w:p>
    <w:p>
      <w:pPr>
        <w:pStyle w:val="24"/>
        <w:spacing w:beforeLines="0" w:afterLines="0"/>
        <w:rPr>
          <w:rFonts w:hAnsi="黑体" w:cs="黑体"/>
          <w:sz w:val="24"/>
          <w:szCs w:val="24"/>
        </w:rPr>
      </w:pPr>
      <w:r>
        <w:rPr>
          <w:rFonts w:hint="eastAsia" w:hAnsi="黑体" w:cs="黑体"/>
          <w:sz w:val="24"/>
          <w:szCs w:val="24"/>
        </w:rPr>
        <w:t>五、标准制定原则：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根据《中华人民共和国食品安全法》及其实施条例等有关法律法规，按GB/T 1.1-2020的编写原则进行编写。以加强武义莲子流通规范卫生安全为原则，深入调查研究，保证规范起草工作的科学性、规范性和可操作性。</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（一）可操作性的原则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范制定过程中按照可操作性的原则，结合武义莲子流通规范生产企业的实际情况，对标准内容进行科学设定。为武义莲子流通规范行业、武义莲子流通规范生产企业、检测单位、市场监督等部门提供科学管理的依据。</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（二）与国内外标准协调一致原则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（三）公开透明的原则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pPr>
        <w:pStyle w:val="24"/>
        <w:spacing w:beforeLines="0" w:afterLines="0"/>
        <w:rPr>
          <w:rFonts w:hAnsi="黑体" w:cs="黑体"/>
          <w:sz w:val="24"/>
          <w:szCs w:val="24"/>
        </w:rPr>
      </w:pPr>
      <w:r>
        <w:rPr>
          <w:rFonts w:hint="eastAsia" w:hAnsi="黑体" w:cs="黑体"/>
          <w:sz w:val="24"/>
          <w:szCs w:val="24"/>
        </w:rPr>
        <w:t>六、标准主要条款说明：</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标准名称：与根据武义县电子商务协会关于印发2020 年度第一批团体标准立项的通知，要求相一致为“武义莲子流通规范”。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前言部分：在“前言”中确定由武义县电子商务协会归口，便于标准的咨询服务和相关解释。</w:t>
      </w:r>
    </w:p>
    <w:p>
      <w:pPr>
        <w:pStyle w:val="19"/>
        <w:numPr>
          <w:ilvl w:val="0"/>
          <w:numId w:val="3"/>
        </w:numPr>
        <w:spacing w:before="312" w:beforeLines="0" w:after="312" w:afterLines="0" w:line="240" w:lineRule="auto"/>
      </w:pPr>
      <w:r>
        <w:rPr>
          <w:rFonts w:hint="eastAsia"/>
        </w:rPr>
        <w:t>范围</w:t>
      </w:r>
    </w:p>
    <w:p>
      <w:pPr>
        <w:ind w:firstLine="420"/>
        <w:rPr>
          <w:rStyle w:val="42"/>
          <w:sz w:val="21"/>
          <w:szCs w:val="21"/>
        </w:rPr>
      </w:pPr>
      <w:r>
        <w:rPr>
          <w:rStyle w:val="42"/>
          <w:sz w:val="21"/>
          <w:szCs w:val="21"/>
        </w:rPr>
        <w:t>本标准规定了武义莲子的质量要求、包装、运输、贮藏、销售、不合格产品的处理等要求。</w:t>
      </w:r>
    </w:p>
    <w:p>
      <w:pPr>
        <w:ind w:firstLine="420"/>
        <w:rPr>
          <w:rStyle w:val="42"/>
          <w:sz w:val="21"/>
          <w:szCs w:val="21"/>
        </w:rPr>
      </w:pPr>
      <w:r>
        <w:rPr>
          <w:rStyle w:val="42"/>
          <w:sz w:val="21"/>
          <w:szCs w:val="21"/>
        </w:rPr>
        <w:t>本标准适用于武义莲子</w:t>
      </w:r>
      <w:r>
        <w:rPr>
          <w:rStyle w:val="42"/>
          <w:rFonts w:hint="eastAsia"/>
          <w:sz w:val="21"/>
          <w:szCs w:val="21"/>
        </w:rPr>
        <w:t>及其干制品</w:t>
      </w:r>
      <w:r>
        <w:rPr>
          <w:rStyle w:val="42"/>
          <w:sz w:val="21"/>
          <w:szCs w:val="21"/>
        </w:rPr>
        <w:t>的包装、运输和销售。</w:t>
      </w:r>
    </w:p>
    <w:p>
      <w:pPr>
        <w:pStyle w:val="19"/>
        <w:numPr>
          <w:ilvl w:val="0"/>
          <w:numId w:val="3"/>
        </w:numPr>
        <w:spacing w:before="312" w:beforeLines="0" w:after="312" w:afterLines="0" w:line="240" w:lineRule="auto"/>
      </w:pPr>
      <w:r>
        <w:rPr>
          <w:rFonts w:hint="eastAsia"/>
        </w:rPr>
        <w:t>规范性引用文件</w:t>
      </w:r>
    </w:p>
    <w:p>
      <w:pPr>
        <w:ind w:firstLine="420"/>
        <w:rPr>
          <w:rStyle w:val="42"/>
          <w:rFonts w:cs="宋体"/>
          <w:sz w:val="21"/>
          <w:szCs w:val="21"/>
        </w:rPr>
      </w:pPr>
      <w:r>
        <w:rPr>
          <w:rStyle w:val="42"/>
          <w:rFonts w:cs="宋体"/>
          <w:sz w:val="21"/>
          <w:szCs w:val="21"/>
        </w:rPr>
        <w:t>下列文件对于本文件的应用是必不可少的。凡是注日期的引用文件，仅注日期的版本适用于本文件。凡是不注日期的引用文件，其最新版本（包括所有的修改单）适用于本文件。</w:t>
      </w:r>
    </w:p>
    <w:p>
      <w:pPr>
        <w:ind w:firstLine="420"/>
        <w:rPr>
          <w:rFonts w:ascii="宋体" w:cs="宋体"/>
          <w:szCs w:val="21"/>
        </w:rPr>
      </w:pPr>
      <w:r>
        <w:rPr>
          <w:rStyle w:val="42"/>
          <w:rFonts w:cs="宋体"/>
          <w:sz w:val="21"/>
          <w:szCs w:val="21"/>
        </w:rPr>
        <w:t xml:space="preserve">NY/T 1504 </w:t>
      </w:r>
      <w:r>
        <w:rPr>
          <w:rFonts w:hint="eastAsia" w:ascii="宋体" w:cs="宋体"/>
          <w:szCs w:val="21"/>
        </w:rPr>
        <w:t>莲子</w:t>
      </w:r>
    </w:p>
    <w:p>
      <w:pPr>
        <w:ind w:firstLine="420"/>
        <w:rPr>
          <w:rStyle w:val="42"/>
          <w:rFonts w:cs="宋体"/>
          <w:sz w:val="21"/>
          <w:szCs w:val="21"/>
        </w:rPr>
      </w:pPr>
      <w:r>
        <w:rPr>
          <w:rStyle w:val="42"/>
          <w:rFonts w:cs="宋体"/>
          <w:sz w:val="21"/>
          <w:szCs w:val="21"/>
        </w:rPr>
        <w:t>GB 4806.8 食品安全国家标准 食品接触用纸和纸板材料及制品</w:t>
      </w:r>
    </w:p>
    <w:p>
      <w:pPr>
        <w:ind w:firstLine="420"/>
        <w:rPr>
          <w:rStyle w:val="42"/>
          <w:rFonts w:cs="宋体"/>
          <w:sz w:val="21"/>
          <w:szCs w:val="21"/>
        </w:rPr>
      </w:pPr>
      <w:r>
        <w:rPr>
          <w:rStyle w:val="42"/>
          <w:rFonts w:cs="宋体"/>
          <w:sz w:val="21"/>
          <w:szCs w:val="21"/>
        </w:rPr>
        <w:t>GB/T 4456 包装用聚乙烯吹塑薄膜</w:t>
      </w:r>
    </w:p>
    <w:p>
      <w:pPr>
        <w:ind w:firstLine="420"/>
        <w:rPr>
          <w:rStyle w:val="42"/>
          <w:rFonts w:cs="宋体"/>
          <w:sz w:val="21"/>
          <w:szCs w:val="21"/>
        </w:rPr>
      </w:pPr>
      <w:r>
        <w:rPr>
          <w:rStyle w:val="42"/>
          <w:rFonts w:cs="宋体"/>
          <w:sz w:val="21"/>
          <w:szCs w:val="21"/>
        </w:rPr>
        <w:t>GB 4806.7 食品安全国家标准 食品接触用塑料材料及制品</w:t>
      </w:r>
    </w:p>
    <w:p>
      <w:pPr>
        <w:ind w:firstLine="420"/>
        <w:rPr>
          <w:rStyle w:val="42"/>
          <w:rFonts w:cs="宋体"/>
          <w:sz w:val="21"/>
          <w:szCs w:val="21"/>
        </w:rPr>
      </w:pPr>
      <w:r>
        <w:rPr>
          <w:rStyle w:val="42"/>
          <w:rFonts w:cs="宋体"/>
          <w:sz w:val="21"/>
          <w:szCs w:val="21"/>
        </w:rPr>
        <w:t>GB 9683 复合食品包装袋卫生标准</w:t>
      </w:r>
    </w:p>
    <w:p>
      <w:pPr>
        <w:ind w:firstLine="420"/>
        <w:rPr>
          <w:rStyle w:val="42"/>
          <w:rFonts w:cs="宋体"/>
          <w:sz w:val="21"/>
          <w:szCs w:val="21"/>
        </w:rPr>
      </w:pPr>
      <w:r>
        <w:rPr>
          <w:rStyle w:val="42"/>
          <w:rFonts w:cs="宋体"/>
          <w:sz w:val="21"/>
          <w:szCs w:val="21"/>
        </w:rPr>
        <w:t>GB/T 8946 塑料编织袋通用技术要求</w:t>
      </w:r>
    </w:p>
    <w:p>
      <w:pPr>
        <w:ind w:firstLine="420"/>
        <w:rPr>
          <w:rStyle w:val="42"/>
          <w:rFonts w:cs="宋体"/>
          <w:sz w:val="21"/>
          <w:szCs w:val="21"/>
        </w:rPr>
      </w:pPr>
      <w:r>
        <w:rPr>
          <w:rStyle w:val="42"/>
          <w:rFonts w:cs="宋体"/>
          <w:sz w:val="21"/>
          <w:szCs w:val="21"/>
        </w:rPr>
        <w:t>GB 7718 食品安全国家标准 预包装食品标签通则</w:t>
      </w:r>
    </w:p>
    <w:p>
      <w:pPr>
        <w:ind w:firstLine="420"/>
        <w:rPr>
          <w:rStyle w:val="42"/>
          <w:rFonts w:cs="宋体"/>
          <w:sz w:val="21"/>
          <w:szCs w:val="21"/>
        </w:rPr>
      </w:pPr>
      <w:r>
        <w:rPr>
          <w:rStyle w:val="42"/>
          <w:rFonts w:cs="宋体"/>
          <w:sz w:val="21"/>
          <w:szCs w:val="21"/>
        </w:rPr>
        <w:t>GB/T 191 包装储运图示标志</w:t>
      </w:r>
    </w:p>
    <w:p>
      <w:pPr>
        <w:ind w:firstLine="420"/>
        <w:rPr>
          <w:rStyle w:val="42"/>
          <w:rFonts w:cs="宋体"/>
          <w:sz w:val="21"/>
          <w:szCs w:val="21"/>
        </w:rPr>
      </w:pPr>
      <w:r>
        <w:rPr>
          <w:rStyle w:val="42"/>
          <w:rFonts w:cs="宋体"/>
          <w:sz w:val="21"/>
          <w:szCs w:val="21"/>
        </w:rPr>
        <w:t>GB/T 6388 运输包装收发货标志</w:t>
      </w:r>
    </w:p>
    <w:p>
      <w:pPr>
        <w:pStyle w:val="19"/>
        <w:numPr>
          <w:ilvl w:val="0"/>
          <w:numId w:val="3"/>
        </w:numPr>
        <w:spacing w:before="312" w:beforeLines="0" w:after="312" w:afterLines="0" w:line="240" w:lineRule="auto"/>
      </w:pPr>
      <w:r>
        <w:rPr>
          <w:rFonts w:hint="eastAsia"/>
        </w:rPr>
        <w:t>术语和定义</w:t>
      </w:r>
    </w:p>
    <w:p>
      <w:pPr>
        <w:pStyle w:val="20"/>
        <w:spacing w:before="156" w:after="156"/>
        <w:rPr>
          <w:rStyle w:val="42"/>
          <w:sz w:val="21"/>
          <w:szCs w:val="21"/>
        </w:rPr>
      </w:pPr>
      <w:r>
        <w:rPr>
          <w:rStyle w:val="42"/>
          <w:sz w:val="21"/>
          <w:szCs w:val="21"/>
        </w:rPr>
        <w:t>下列术语和定义适用于本文件。</w:t>
      </w:r>
    </w:p>
    <w:p>
      <w:pPr>
        <w:pStyle w:val="24"/>
        <w:numPr>
          <w:ilvl w:val="1"/>
          <w:numId w:val="3"/>
        </w:numPr>
        <w:spacing w:before="156" w:beforeLines="0" w:after="156" w:afterLines="0"/>
      </w:pPr>
      <w:r>
        <w:rPr>
          <w:rFonts w:hint="eastAsia"/>
        </w:rPr>
        <w:t>武义莲子 Wuyi lotus seed</w:t>
      </w:r>
    </w:p>
    <w:p>
      <w:pPr>
        <w:pStyle w:val="20"/>
        <w:spacing w:before="156" w:after="156"/>
        <w:ind w:firstLine="440"/>
        <w:rPr>
          <w:rStyle w:val="42"/>
        </w:rPr>
      </w:pPr>
      <w:r>
        <w:rPr>
          <w:rStyle w:val="42"/>
        </w:rPr>
        <w:t>本标准中的武义莲子是指产于武义县行政区域内，具有粒大肉厚，酥松易煮等特点的莲子。</w:t>
      </w:r>
    </w:p>
    <w:p>
      <w:pPr>
        <w:pStyle w:val="24"/>
        <w:numPr>
          <w:ilvl w:val="1"/>
          <w:numId w:val="3"/>
        </w:numPr>
        <w:spacing w:before="156" w:beforeLines="0" w:after="156" w:afterLines="0"/>
      </w:pPr>
      <w:r>
        <w:rPr>
          <w:rFonts w:hint="eastAsia"/>
        </w:rPr>
        <w:t>圆粒</w:t>
      </w:r>
      <w:r>
        <w:t>红</w:t>
      </w:r>
      <w:r>
        <w:rPr>
          <w:rFonts w:hint="eastAsia"/>
        </w:rPr>
        <w:t>莲 circular</w:t>
      </w:r>
      <w:r>
        <w:t xml:space="preserve"> and red </w:t>
      </w:r>
      <w:r>
        <w:rPr>
          <w:rFonts w:hint="eastAsia"/>
        </w:rPr>
        <w:t>lotus seed</w:t>
      </w:r>
    </w:p>
    <w:p>
      <w:pPr>
        <w:pStyle w:val="20"/>
        <w:spacing w:before="156" w:after="156"/>
        <w:rPr>
          <w:rStyle w:val="42"/>
          <w:sz w:val="21"/>
          <w:szCs w:val="21"/>
        </w:rPr>
      </w:pPr>
      <w:r>
        <w:rPr>
          <w:rStyle w:val="42"/>
          <w:sz w:val="21"/>
          <w:szCs w:val="21"/>
        </w:rPr>
        <w:t>具有本品种特征特性、符合本标准要求，机械去掉外壳、保留红色种皮的天然干莲子。</w:t>
      </w:r>
    </w:p>
    <w:p>
      <w:pPr>
        <w:pStyle w:val="24"/>
        <w:numPr>
          <w:ilvl w:val="1"/>
          <w:numId w:val="3"/>
        </w:numPr>
        <w:spacing w:before="156" w:beforeLines="0" w:after="156" w:afterLines="0"/>
      </w:pPr>
      <w:r>
        <w:rPr>
          <w:rFonts w:hint="eastAsia"/>
        </w:rPr>
        <w:t>钻芯莲 hollow lotus seed</w:t>
      </w:r>
    </w:p>
    <w:p>
      <w:pPr>
        <w:pStyle w:val="24"/>
        <w:spacing w:before="156" w:beforeLines="0" w:after="156" w:afterLines="0"/>
        <w:ind w:firstLine="420" w:firstLineChars="200"/>
        <w:rPr>
          <w:rFonts w:ascii="宋体" w:eastAsia="宋体"/>
          <w:szCs w:val="20"/>
        </w:rPr>
      </w:pPr>
      <w:r>
        <w:rPr>
          <w:rFonts w:hint="eastAsia" w:ascii="宋体" w:eastAsia="宋体"/>
          <w:szCs w:val="20"/>
        </w:rPr>
        <w:t>具有本品种特征特性</w:t>
      </w:r>
      <w:r>
        <w:rPr>
          <w:rFonts w:ascii="宋体" w:eastAsia="宋体"/>
          <w:szCs w:val="20"/>
        </w:rPr>
        <w:t>、</w:t>
      </w:r>
      <w:r>
        <w:rPr>
          <w:rFonts w:hint="eastAsia" w:ascii="宋体" w:eastAsia="宋体"/>
          <w:szCs w:val="20"/>
        </w:rPr>
        <w:t>符合本标准要求</w:t>
      </w:r>
      <w:r>
        <w:rPr>
          <w:rFonts w:ascii="宋体" w:eastAsia="宋体"/>
          <w:szCs w:val="20"/>
        </w:rPr>
        <w:t>，机械钻掉莲芯的圆粒红莲</w:t>
      </w:r>
      <w:r>
        <w:rPr>
          <w:rFonts w:hint="eastAsia" w:ascii="宋体" w:eastAsia="宋体"/>
          <w:szCs w:val="20"/>
        </w:rPr>
        <w:t>。</w:t>
      </w:r>
    </w:p>
    <w:p>
      <w:pPr>
        <w:pStyle w:val="24"/>
        <w:numPr>
          <w:ilvl w:val="1"/>
          <w:numId w:val="3"/>
        </w:numPr>
        <w:spacing w:before="156" w:beforeLines="0" w:after="156" w:afterLines="0"/>
        <w:rPr>
          <w:rFonts w:ascii="宋体" w:cs="微软雅黑"/>
        </w:rPr>
      </w:pPr>
      <w:r>
        <w:rPr>
          <w:rFonts w:hint="eastAsia"/>
          <w:bCs/>
        </w:rPr>
        <w:t>磨皮白莲grind endodemis white lotus seed</w:t>
      </w:r>
      <w:r>
        <w:rPr>
          <w:bCs/>
        </w:rPr>
        <w:t>（序号排列问题）</w:t>
      </w:r>
    </w:p>
    <w:p>
      <w:pPr>
        <w:pStyle w:val="24"/>
        <w:spacing w:before="156" w:beforeLines="0" w:after="156" w:afterLines="0"/>
        <w:ind w:firstLine="420" w:firstLineChars="200"/>
        <w:rPr>
          <w:rFonts w:ascii="宋体" w:eastAsia="宋体"/>
          <w:szCs w:val="20"/>
        </w:rPr>
      </w:pPr>
      <w:r>
        <w:rPr>
          <w:rFonts w:hint="eastAsia" w:ascii="宋体" w:eastAsia="宋体"/>
          <w:szCs w:val="20"/>
        </w:rPr>
        <w:t>具有本品种特征特性</w:t>
      </w:r>
      <w:r>
        <w:rPr>
          <w:rFonts w:ascii="宋体" w:eastAsia="宋体"/>
          <w:szCs w:val="20"/>
        </w:rPr>
        <w:t>、</w:t>
      </w:r>
      <w:r>
        <w:rPr>
          <w:rFonts w:hint="eastAsia" w:ascii="宋体" w:eastAsia="宋体"/>
          <w:szCs w:val="20"/>
        </w:rPr>
        <w:t>符合本标准要求</w:t>
      </w:r>
      <w:r>
        <w:rPr>
          <w:rFonts w:ascii="宋体" w:eastAsia="宋体"/>
          <w:szCs w:val="20"/>
        </w:rPr>
        <w:t>，</w:t>
      </w:r>
      <w:r>
        <w:rPr>
          <w:rStyle w:val="42"/>
        </w:rPr>
        <w:t>机械磨去红色种皮的钻芯莲。</w:t>
      </w:r>
    </w:p>
    <w:p>
      <w:pPr>
        <w:pStyle w:val="24"/>
        <w:numPr>
          <w:ilvl w:val="1"/>
          <w:numId w:val="3"/>
        </w:numPr>
        <w:spacing w:before="156" w:beforeLines="0" w:after="156" w:afterLines="0"/>
      </w:pPr>
      <w:r>
        <w:t>通芯白莲hollow white lotus seed</w:t>
      </w:r>
    </w:p>
    <w:p>
      <w:pPr>
        <w:ind w:firstLine="420"/>
        <w:rPr>
          <w:rStyle w:val="42"/>
        </w:rPr>
      </w:pPr>
      <w:r>
        <w:rPr>
          <w:rFonts w:hint="eastAsia" w:ascii="宋体"/>
          <w:szCs w:val="20"/>
        </w:rPr>
        <w:t>具有本品种特征特性</w:t>
      </w:r>
      <w:r>
        <w:rPr>
          <w:rFonts w:ascii="宋体"/>
          <w:szCs w:val="20"/>
        </w:rPr>
        <w:t>、</w:t>
      </w:r>
      <w:r>
        <w:rPr>
          <w:rFonts w:hint="eastAsia" w:ascii="宋体"/>
          <w:szCs w:val="20"/>
        </w:rPr>
        <w:t>符合本标准要求</w:t>
      </w:r>
      <w:r>
        <w:rPr>
          <w:rFonts w:ascii="宋体"/>
          <w:szCs w:val="20"/>
        </w:rPr>
        <w:t>，</w:t>
      </w:r>
      <w:r>
        <w:rPr>
          <w:rStyle w:val="42"/>
        </w:rPr>
        <w:t>采摘八至九成熟的鲜莲，去掉外壳、种皮和莲芯，经烘焙加工的干莲子。</w:t>
      </w:r>
    </w:p>
    <w:p>
      <w:pPr>
        <w:pStyle w:val="24"/>
        <w:numPr>
          <w:ilvl w:val="1"/>
          <w:numId w:val="3"/>
        </w:numPr>
        <w:spacing w:before="156" w:beforeLines="0" w:after="156" w:afterLines="0"/>
      </w:pPr>
      <w:r>
        <w:t>开边莲dissect lotusseed</w:t>
      </w:r>
    </w:p>
    <w:p>
      <w:pPr>
        <w:pStyle w:val="24"/>
        <w:spacing w:before="156" w:beforeLines="0" w:after="156" w:afterLines="0"/>
        <w:ind w:firstLine="440" w:firstLineChars="200"/>
        <w:rPr>
          <w:rStyle w:val="42"/>
        </w:rPr>
      </w:pPr>
      <w:r>
        <w:rPr>
          <w:rStyle w:val="42"/>
        </w:rPr>
        <w:t>将圆粒红莲纵向对称劈开，去掉莲芯的干莲子。</w:t>
      </w:r>
    </w:p>
    <w:p>
      <w:pPr>
        <w:pStyle w:val="24"/>
        <w:numPr>
          <w:ilvl w:val="1"/>
          <w:numId w:val="3"/>
        </w:numPr>
        <w:spacing w:before="156" w:beforeLines="0" w:after="156" w:afterLines="0"/>
      </w:pPr>
      <w:r>
        <w:t>缺陷莲defect lotus seed</w:t>
      </w:r>
    </w:p>
    <w:p>
      <w:pPr>
        <w:ind w:firstLine="440"/>
        <w:rPr>
          <w:rStyle w:val="42"/>
        </w:rPr>
      </w:pPr>
      <w:r>
        <w:rPr>
          <w:rStyle w:val="42"/>
        </w:rPr>
        <w:t>有各种缺陷（瘪子、破损、变黑等）的干莲子。</w:t>
      </w:r>
    </w:p>
    <w:p>
      <w:pPr>
        <w:pStyle w:val="24"/>
        <w:numPr>
          <w:ilvl w:val="1"/>
          <w:numId w:val="3"/>
        </w:numPr>
        <w:spacing w:before="156" w:beforeLines="0" w:after="156" w:afterLines="0"/>
      </w:pPr>
      <w:r>
        <w:t>霉变mouldiness</w:t>
      </w:r>
    </w:p>
    <w:p>
      <w:pPr>
        <w:pStyle w:val="24"/>
        <w:spacing w:before="156" w:beforeLines="0" w:after="156" w:afterLines="0"/>
        <w:ind w:firstLine="440" w:firstLineChars="200"/>
        <w:rPr>
          <w:rFonts w:ascii="宋体" w:eastAsia="宋体"/>
          <w:szCs w:val="20"/>
          <w:shd w:val="solid" w:color="FF0000" w:fill="FFFFFF"/>
        </w:rPr>
      </w:pPr>
      <w:r>
        <w:rPr>
          <w:rStyle w:val="42"/>
        </w:rPr>
        <w:t>霉菌侵</w:t>
      </w:r>
      <w:r>
        <w:rPr>
          <w:rStyle w:val="42"/>
          <w:rFonts w:hint="eastAsia"/>
        </w:rPr>
        <w:t>入</w:t>
      </w:r>
      <w:r>
        <w:rPr>
          <w:rStyle w:val="42"/>
        </w:rPr>
        <w:t>莲肉而产生发霉变质现象。</w:t>
      </w:r>
    </w:p>
    <w:p>
      <w:pPr>
        <w:pStyle w:val="24"/>
        <w:numPr>
          <w:ilvl w:val="1"/>
          <w:numId w:val="3"/>
        </w:numPr>
        <w:spacing w:before="156" w:beforeLines="0" w:after="156" w:afterLines="0"/>
      </w:pPr>
      <w:r>
        <w:t>虫蛀worm</w:t>
      </w:r>
      <w:r>
        <w:rPr>
          <w:rFonts w:hint="eastAsia"/>
        </w:rPr>
        <w:t>-</w:t>
      </w:r>
      <w:r>
        <w:t xml:space="preserve">eaten </w:t>
      </w:r>
    </w:p>
    <w:p>
      <w:pPr>
        <w:pStyle w:val="24"/>
        <w:spacing w:before="156" w:beforeLines="0" w:after="156" w:afterLines="0"/>
        <w:ind w:firstLine="440" w:firstLineChars="200"/>
        <w:rPr>
          <w:rStyle w:val="42"/>
        </w:rPr>
      </w:pPr>
      <w:r>
        <w:rPr>
          <w:rStyle w:val="42"/>
        </w:rPr>
        <w:t>莲子被虫蛀食的现象。</w:t>
      </w:r>
    </w:p>
    <w:p>
      <w:pPr>
        <w:pStyle w:val="19"/>
        <w:numPr>
          <w:ilvl w:val="0"/>
          <w:numId w:val="3"/>
        </w:numPr>
        <w:spacing w:before="312" w:beforeLines="0" w:after="312" w:afterLines="0" w:line="240" w:lineRule="auto"/>
      </w:pPr>
      <w:r>
        <w:rPr>
          <w:rFonts w:hint="eastAsia"/>
        </w:rPr>
        <w:t>质量要求</w:t>
      </w:r>
    </w:p>
    <w:p>
      <w:pPr>
        <w:pStyle w:val="24"/>
        <w:numPr>
          <w:ilvl w:val="1"/>
          <w:numId w:val="3"/>
        </w:numPr>
        <w:spacing w:before="156" w:beforeLines="0" w:after="156" w:afterLines="0"/>
        <w:rPr>
          <w:rFonts w:ascii="宋体" w:hAnsi="宋体"/>
        </w:rPr>
      </w:pPr>
      <w:r>
        <w:rPr>
          <w:rFonts w:hint="eastAsia" w:ascii="宋体" w:hAnsi="宋体"/>
        </w:rPr>
        <w:t>基本要求</w:t>
      </w:r>
    </w:p>
    <w:p>
      <w:pPr>
        <w:pStyle w:val="20"/>
        <w:spacing w:before="156" w:after="156"/>
      </w:pPr>
      <w:r>
        <w:rPr>
          <w:rFonts w:hint="eastAsia"/>
        </w:rPr>
        <w:t>产品质量应符合NY/T 1504等相关标准的规定。</w:t>
      </w:r>
    </w:p>
    <w:p>
      <w:pPr>
        <w:pStyle w:val="24"/>
        <w:numPr>
          <w:ilvl w:val="1"/>
          <w:numId w:val="3"/>
        </w:numPr>
        <w:spacing w:before="156" w:beforeLines="0" w:after="156" w:afterLines="0"/>
        <w:rPr>
          <w:rFonts w:ascii="宋体" w:hAnsi="宋体"/>
        </w:rPr>
      </w:pPr>
      <w:r>
        <w:rPr>
          <w:rFonts w:hint="eastAsia"/>
        </w:rPr>
        <w:t>感官指标</w:t>
      </w:r>
    </w:p>
    <w:p>
      <w:pPr>
        <w:pStyle w:val="34"/>
        <w:numPr>
          <w:ilvl w:val="2"/>
          <w:numId w:val="3"/>
        </w:numPr>
        <w:spacing w:before="156" w:after="156" w:line="240" w:lineRule="auto"/>
      </w:pPr>
      <w:r>
        <w:rPr>
          <w:rFonts w:hint="eastAsia"/>
        </w:rPr>
        <w:t>圆粒</w:t>
      </w:r>
      <w:r>
        <w:t>红</w:t>
      </w:r>
      <w:r>
        <w:rPr>
          <w:rFonts w:hint="eastAsia"/>
        </w:rPr>
        <w:t>莲</w:t>
      </w:r>
    </w:p>
    <w:p>
      <w:pPr>
        <w:pStyle w:val="20"/>
        <w:spacing w:before="156" w:after="156"/>
        <w:rPr>
          <w:rStyle w:val="42"/>
          <w:sz w:val="21"/>
          <w:szCs w:val="21"/>
        </w:rPr>
      </w:pPr>
      <w:r>
        <w:rPr>
          <w:rStyle w:val="42"/>
          <w:sz w:val="21"/>
          <w:szCs w:val="21"/>
        </w:rPr>
        <w:t>感官指标应符合表1的规定</w:t>
      </w:r>
    </w:p>
    <w:p>
      <w:pPr>
        <w:pStyle w:val="20"/>
        <w:spacing w:before="156" w:after="156"/>
        <w:ind w:firstLine="2940" w:firstLineChars="1400"/>
        <w:rPr>
          <w:bCs/>
        </w:rPr>
      </w:pPr>
      <w:r>
        <w:rPr>
          <w:bCs/>
        </w:rPr>
        <w:t>表1 圆粒红莲感官指标</w:t>
      </w:r>
    </w:p>
    <w:tbl>
      <w:tblPr>
        <w:tblStyle w:val="8"/>
        <w:tblW w:w="9356" w:type="dxa"/>
        <w:jc w:val="center"/>
        <w:tblLayout w:type="autofit"/>
        <w:tblCellMar>
          <w:top w:w="38" w:type="dxa"/>
          <w:left w:w="111" w:type="dxa"/>
          <w:bottom w:w="0" w:type="dxa"/>
          <w:right w:w="108" w:type="dxa"/>
        </w:tblCellMar>
      </w:tblPr>
      <w:tblGrid>
        <w:gridCol w:w="2124"/>
        <w:gridCol w:w="2477"/>
        <w:gridCol w:w="2477"/>
        <w:gridCol w:w="2278"/>
      </w:tblGrid>
      <w:tr>
        <w:tblPrEx>
          <w:tblCellMar>
            <w:top w:w="38" w:type="dxa"/>
            <w:left w:w="111" w:type="dxa"/>
            <w:bottom w:w="0" w:type="dxa"/>
            <w:right w:w="108" w:type="dxa"/>
          </w:tblCellMar>
        </w:tblPrEx>
        <w:trPr>
          <w:trHeight w:val="170" w:hRule="atLeast"/>
          <w:jc w:val="center"/>
        </w:trPr>
        <w:tc>
          <w:tcPr>
            <w:tcW w:w="2107" w:type="dxa"/>
            <w:vMerge w:val="restart"/>
            <w:tcBorders>
              <w:top w:val="single" w:color="000000" w:sz="2" w:space="0"/>
              <w:left w:val="single" w:color="000000" w:sz="2" w:space="0"/>
              <w:bottom w:val="single" w:color="000000" w:sz="2" w:space="0"/>
              <w:right w:val="single" w:color="000000" w:sz="2" w:space="0"/>
            </w:tcBorders>
            <w:vAlign w:val="center"/>
          </w:tcPr>
          <w:p>
            <w:pPr>
              <w:pStyle w:val="20"/>
              <w:spacing w:before="156" w:after="156"/>
            </w:pPr>
            <w:r>
              <w:t>项 目</w:t>
            </w:r>
          </w:p>
        </w:tc>
        <w:tc>
          <w:tcPr>
            <w:tcW w:w="2457" w:type="dxa"/>
            <w:tcBorders>
              <w:top w:val="single" w:color="000000" w:sz="2" w:space="0"/>
              <w:left w:val="single" w:color="000000" w:sz="2" w:space="0"/>
              <w:bottom w:val="single" w:color="000000" w:sz="2" w:space="0"/>
              <w:right w:val="nil"/>
            </w:tcBorders>
            <w:vAlign w:val="center"/>
          </w:tcPr>
          <w:p>
            <w:pPr>
              <w:pStyle w:val="20"/>
              <w:spacing w:before="156" w:after="156"/>
              <w:ind w:firstLine="2940" w:firstLineChars="1400"/>
            </w:pPr>
          </w:p>
        </w:tc>
        <w:tc>
          <w:tcPr>
            <w:tcW w:w="2457" w:type="dxa"/>
            <w:tcBorders>
              <w:top w:val="single" w:color="000000" w:sz="2" w:space="0"/>
              <w:left w:val="nil"/>
              <w:bottom w:val="single" w:color="000000" w:sz="2" w:space="0"/>
              <w:right w:val="nil"/>
            </w:tcBorders>
            <w:vAlign w:val="center"/>
          </w:tcPr>
          <w:p>
            <w:pPr>
              <w:pStyle w:val="20"/>
              <w:spacing w:before="156" w:after="156"/>
            </w:pPr>
            <w:r>
              <w:t>等级</w:t>
            </w:r>
          </w:p>
        </w:tc>
        <w:tc>
          <w:tcPr>
            <w:tcW w:w="2258" w:type="dxa"/>
            <w:tcBorders>
              <w:top w:val="single" w:color="000000" w:sz="2" w:space="0"/>
              <w:left w:val="nil"/>
              <w:bottom w:val="single" w:color="000000" w:sz="2" w:space="0"/>
              <w:right w:val="single" w:color="000000" w:sz="2" w:space="0"/>
            </w:tcBorders>
            <w:vAlign w:val="center"/>
          </w:tcPr>
          <w:p>
            <w:pPr>
              <w:pStyle w:val="20"/>
              <w:spacing w:before="156" w:after="156"/>
              <w:ind w:firstLine="2940" w:firstLineChars="1400"/>
            </w:pPr>
          </w:p>
        </w:tc>
      </w:tr>
      <w:tr>
        <w:tblPrEx>
          <w:tblCellMar>
            <w:top w:w="38" w:type="dxa"/>
            <w:left w:w="111" w:type="dxa"/>
            <w:bottom w:w="0" w:type="dxa"/>
            <w:right w:w="108" w:type="dxa"/>
          </w:tblCellMar>
        </w:tblPrEx>
        <w:trPr>
          <w:trHeight w:val="232" w:hRule="atLeast"/>
          <w:jc w:val="center"/>
        </w:trPr>
        <w:tc>
          <w:tcPr>
            <w:tcW w:w="0" w:type="auto"/>
            <w:vMerge w:val="continue"/>
            <w:tcBorders>
              <w:top w:val="nil"/>
              <w:left w:val="single" w:color="000000" w:sz="2" w:space="0"/>
              <w:bottom w:val="single" w:color="000000" w:sz="2" w:space="0"/>
              <w:right w:val="single" w:color="000000" w:sz="2" w:space="0"/>
            </w:tcBorders>
            <w:vAlign w:val="center"/>
          </w:tcPr>
          <w:p>
            <w:pPr>
              <w:ind w:firstLine="420"/>
            </w:pP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一级</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二级</w:t>
            </w:r>
          </w:p>
        </w:tc>
        <w:tc>
          <w:tcPr>
            <w:tcW w:w="2258"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三级</w:t>
            </w:r>
          </w:p>
        </w:tc>
      </w:tr>
      <w:tr>
        <w:tblPrEx>
          <w:tblCellMar>
            <w:top w:w="38" w:type="dxa"/>
            <w:left w:w="111" w:type="dxa"/>
            <w:bottom w:w="0" w:type="dxa"/>
            <w:right w:w="108" w:type="dxa"/>
          </w:tblCellMar>
        </w:tblPrEx>
        <w:trPr>
          <w:trHeight w:val="788" w:hRule="atLeast"/>
          <w:jc w:val="center"/>
        </w:trPr>
        <w:tc>
          <w:tcPr>
            <w:tcW w:w="210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形</w:t>
            </w:r>
            <w:r>
              <w:t>状、色泽与气味</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卵圆、均匀一致、表皮粉红透白、色泽一致。有莲子固有的清香，无异味</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卵圆、均匀一致、表皮粉红或红色。有莲子固有的清香，无异味</w:t>
            </w:r>
          </w:p>
        </w:tc>
        <w:tc>
          <w:tcPr>
            <w:tcW w:w="2258"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圆形或卵圆形，表皮红色或暗红色。有莲子固有的清香，无异味</w:t>
            </w:r>
          </w:p>
        </w:tc>
      </w:tr>
      <w:tr>
        <w:tblPrEx>
          <w:tblCellMar>
            <w:top w:w="38" w:type="dxa"/>
            <w:left w:w="111" w:type="dxa"/>
            <w:bottom w:w="0" w:type="dxa"/>
            <w:right w:w="108" w:type="dxa"/>
          </w:tblCellMar>
        </w:tblPrEx>
        <w:trPr>
          <w:trHeight w:val="340" w:hRule="atLeast"/>
          <w:jc w:val="center"/>
        </w:trPr>
        <w:tc>
          <w:tcPr>
            <w:tcW w:w="210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粒数/1000 g</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&lt;950</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&lt;1050</w:t>
            </w:r>
          </w:p>
        </w:tc>
        <w:tc>
          <w:tcPr>
            <w:tcW w:w="2258"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&lt;1100</w:t>
            </w:r>
          </w:p>
        </w:tc>
      </w:tr>
      <w:tr>
        <w:tblPrEx>
          <w:tblCellMar>
            <w:top w:w="38" w:type="dxa"/>
            <w:left w:w="111" w:type="dxa"/>
            <w:bottom w:w="0" w:type="dxa"/>
            <w:right w:w="108" w:type="dxa"/>
          </w:tblCellMar>
        </w:tblPrEx>
        <w:trPr>
          <w:trHeight w:val="267" w:hRule="atLeast"/>
          <w:jc w:val="center"/>
        </w:trPr>
        <w:tc>
          <w:tcPr>
            <w:tcW w:w="210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净度，％</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210" w:firstLineChars="100"/>
            </w:pPr>
            <w:r>
              <w:t>100</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99</w:t>
            </w:r>
          </w:p>
        </w:tc>
        <w:tc>
          <w:tcPr>
            <w:tcW w:w="2258"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98</w:t>
            </w:r>
          </w:p>
        </w:tc>
      </w:tr>
      <w:tr>
        <w:tblPrEx>
          <w:tblCellMar>
            <w:top w:w="38" w:type="dxa"/>
            <w:left w:w="111" w:type="dxa"/>
            <w:bottom w:w="0" w:type="dxa"/>
            <w:right w:w="108" w:type="dxa"/>
          </w:tblCellMar>
        </w:tblPrEx>
        <w:trPr>
          <w:trHeight w:val="259" w:hRule="atLeast"/>
          <w:jc w:val="center"/>
        </w:trPr>
        <w:tc>
          <w:tcPr>
            <w:tcW w:w="210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缺陷率，/</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2</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5</w:t>
            </w:r>
          </w:p>
        </w:tc>
        <w:tc>
          <w:tcPr>
            <w:tcW w:w="2258"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&lt; 12</w:t>
            </w:r>
          </w:p>
        </w:tc>
      </w:tr>
      <w:tr>
        <w:tblPrEx>
          <w:tblCellMar>
            <w:top w:w="38" w:type="dxa"/>
            <w:left w:w="111" w:type="dxa"/>
            <w:bottom w:w="0" w:type="dxa"/>
            <w:right w:w="108" w:type="dxa"/>
          </w:tblCellMar>
        </w:tblPrEx>
        <w:trPr>
          <w:trHeight w:val="264" w:hRule="atLeast"/>
          <w:jc w:val="center"/>
        </w:trPr>
        <w:tc>
          <w:tcPr>
            <w:tcW w:w="210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霉变、虫蛀</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无</w:t>
            </w:r>
          </w:p>
        </w:tc>
        <w:tc>
          <w:tcPr>
            <w:tcW w:w="2457"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210" w:firstLineChars="100"/>
            </w:pPr>
            <w:r>
              <w:t>无</w:t>
            </w:r>
          </w:p>
        </w:tc>
        <w:tc>
          <w:tcPr>
            <w:tcW w:w="2258"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210" w:firstLineChars="100"/>
            </w:pPr>
            <w:r>
              <w:rPr>
                <w:rFonts w:hint="eastAsia"/>
              </w:rPr>
              <w:t>无</w:t>
            </w:r>
          </w:p>
        </w:tc>
      </w:tr>
    </w:tbl>
    <w:p>
      <w:pPr>
        <w:pStyle w:val="20"/>
        <w:spacing w:before="156" w:after="156"/>
      </w:pPr>
    </w:p>
    <w:p>
      <w:pPr>
        <w:pStyle w:val="34"/>
        <w:numPr>
          <w:ilvl w:val="2"/>
          <w:numId w:val="3"/>
        </w:numPr>
        <w:spacing w:before="156" w:after="156" w:line="240" w:lineRule="auto"/>
      </w:pPr>
      <w:r>
        <w:t>钻芯莲</w:t>
      </w:r>
    </w:p>
    <w:p>
      <w:pPr>
        <w:ind w:firstLine="420"/>
      </w:pPr>
      <w:r>
        <w:rPr>
          <w:rStyle w:val="42"/>
          <w:sz w:val="21"/>
          <w:szCs w:val="21"/>
        </w:rPr>
        <w:t>感官指标应符合表2的规定：</w:t>
      </w:r>
    </w:p>
    <w:p>
      <w:pPr>
        <w:ind w:firstLine="2940" w:firstLineChars="1400"/>
        <w:rPr>
          <w:rFonts w:ascii="宋体" w:cs="宋体"/>
          <w:bCs/>
        </w:rPr>
      </w:pPr>
      <w:r>
        <w:rPr>
          <w:rFonts w:hint="eastAsia" w:ascii="宋体" w:cs="宋体"/>
          <w:bCs/>
        </w:rPr>
        <w:t>表2 钻芯莲感官指标</w:t>
      </w:r>
    </w:p>
    <w:tbl>
      <w:tblPr>
        <w:tblStyle w:val="8"/>
        <w:tblW w:w="8505" w:type="dxa"/>
        <w:jc w:val="center"/>
        <w:tblLayout w:type="autofit"/>
        <w:tblCellMar>
          <w:top w:w="0" w:type="dxa"/>
          <w:left w:w="115" w:type="dxa"/>
          <w:bottom w:w="0" w:type="dxa"/>
          <w:right w:w="113" w:type="dxa"/>
        </w:tblCellMar>
      </w:tblPr>
      <w:tblGrid>
        <w:gridCol w:w="2126"/>
        <w:gridCol w:w="2126"/>
        <w:gridCol w:w="2126"/>
        <w:gridCol w:w="2127"/>
      </w:tblGrid>
      <w:tr>
        <w:tblPrEx>
          <w:tblCellMar>
            <w:top w:w="0" w:type="dxa"/>
            <w:left w:w="115" w:type="dxa"/>
            <w:bottom w:w="0" w:type="dxa"/>
            <w:right w:w="113" w:type="dxa"/>
          </w:tblCellMar>
        </w:tblPrEx>
        <w:trPr>
          <w:trHeight w:val="317" w:hRule="atLeast"/>
          <w:jc w:val="center"/>
        </w:trPr>
        <w:tc>
          <w:tcPr>
            <w:tcW w:w="1985" w:type="dxa"/>
            <w:vMerge w:val="restart"/>
            <w:tcBorders>
              <w:top w:val="single" w:color="000000" w:sz="2" w:space="0"/>
              <w:left w:val="single" w:color="000000" w:sz="2" w:space="0"/>
              <w:bottom w:val="single" w:color="000000" w:sz="2" w:space="0"/>
              <w:right w:val="single" w:color="000000" w:sz="2" w:space="0"/>
            </w:tcBorders>
            <w:vAlign w:val="center"/>
          </w:tcPr>
          <w:p>
            <w:pPr>
              <w:pStyle w:val="20"/>
              <w:spacing w:before="156" w:after="156"/>
            </w:pPr>
            <w:r>
              <w:t>项目</w:t>
            </w:r>
          </w:p>
        </w:tc>
        <w:tc>
          <w:tcPr>
            <w:tcW w:w="1985" w:type="dxa"/>
            <w:tcBorders>
              <w:top w:val="single" w:color="000000" w:sz="2" w:space="0"/>
              <w:left w:val="single" w:color="000000" w:sz="2" w:space="0"/>
              <w:bottom w:val="single" w:color="000000" w:sz="2" w:space="0"/>
              <w:right w:val="nil"/>
            </w:tcBorders>
            <w:vAlign w:val="center"/>
          </w:tcPr>
          <w:p>
            <w:pPr>
              <w:pStyle w:val="20"/>
              <w:spacing w:before="156" w:after="156"/>
              <w:ind w:firstLine="0" w:firstLineChars="0"/>
            </w:pPr>
          </w:p>
        </w:tc>
        <w:tc>
          <w:tcPr>
            <w:tcW w:w="1985" w:type="dxa"/>
            <w:tcBorders>
              <w:top w:val="single" w:color="000000" w:sz="2" w:space="0"/>
              <w:left w:val="nil"/>
              <w:bottom w:val="single" w:color="000000" w:sz="2" w:space="0"/>
              <w:right w:val="nil"/>
            </w:tcBorders>
            <w:vAlign w:val="center"/>
          </w:tcPr>
          <w:p>
            <w:pPr>
              <w:pStyle w:val="20"/>
              <w:spacing w:before="156" w:after="156"/>
              <w:ind w:firstLine="0" w:firstLineChars="0"/>
            </w:pPr>
            <w:r>
              <w:t>等级</w:t>
            </w:r>
          </w:p>
        </w:tc>
        <w:tc>
          <w:tcPr>
            <w:tcW w:w="1985" w:type="dxa"/>
            <w:tcBorders>
              <w:top w:val="single" w:color="000000" w:sz="2" w:space="0"/>
              <w:left w:val="nil"/>
              <w:bottom w:val="single" w:color="000000" w:sz="2" w:space="0"/>
              <w:right w:val="single" w:color="000000" w:sz="2" w:space="0"/>
            </w:tcBorders>
            <w:vAlign w:val="center"/>
          </w:tcPr>
          <w:p>
            <w:pPr>
              <w:pStyle w:val="20"/>
              <w:spacing w:before="156" w:after="156"/>
              <w:ind w:firstLine="0" w:firstLineChars="0"/>
            </w:pPr>
          </w:p>
        </w:tc>
      </w:tr>
      <w:tr>
        <w:tblPrEx>
          <w:tblCellMar>
            <w:top w:w="0" w:type="dxa"/>
            <w:left w:w="115" w:type="dxa"/>
            <w:bottom w:w="0" w:type="dxa"/>
            <w:right w:w="113" w:type="dxa"/>
          </w:tblCellMar>
        </w:tblPrEx>
        <w:trPr>
          <w:trHeight w:val="352" w:hRule="atLeast"/>
          <w:jc w:val="center"/>
        </w:trPr>
        <w:tc>
          <w:tcPr>
            <w:tcW w:w="1985" w:type="dxa"/>
            <w:vMerge w:val="continue"/>
            <w:tcBorders>
              <w:top w:val="nil"/>
              <w:left w:val="single" w:color="000000" w:sz="2" w:space="0"/>
              <w:bottom w:val="single" w:color="000000" w:sz="2" w:space="0"/>
              <w:right w:val="single" w:color="000000" w:sz="2" w:space="0"/>
            </w:tcBorders>
            <w:vAlign w:val="center"/>
          </w:tcPr>
          <w:p>
            <w:pPr>
              <w:ind w:firstLine="420"/>
            </w:pP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一级</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一级</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二级</w:t>
            </w:r>
          </w:p>
        </w:tc>
      </w:tr>
      <w:tr>
        <w:tblPrEx>
          <w:tblCellMar>
            <w:top w:w="0" w:type="dxa"/>
            <w:left w:w="115" w:type="dxa"/>
            <w:bottom w:w="0" w:type="dxa"/>
            <w:right w:w="113" w:type="dxa"/>
          </w:tblCellMar>
        </w:tblPrEx>
        <w:trPr>
          <w:trHeight w:val="1018" w:hRule="atLeast"/>
          <w:jc w:val="center"/>
        </w:trPr>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形状、色泽与气味</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卵圆、均匀一致、表皮粉红透白、色泽</w:t>
            </w:r>
            <w:r>
              <w:rPr>
                <w:rFonts w:hint="eastAsia"/>
              </w:rPr>
              <w:t>一</w:t>
            </w:r>
            <w:r>
              <w:t>致。有莲子固有的清香，无异味</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卵圆、均匀一致、表皮粉红或红色。有莲子固有的清香，无异味</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圆形或卵圆形，表皮红色或暗红色。有莲子固有的清香，无异味</w:t>
            </w:r>
          </w:p>
        </w:tc>
      </w:tr>
      <w:tr>
        <w:tblPrEx>
          <w:tblCellMar>
            <w:top w:w="0" w:type="dxa"/>
            <w:left w:w="115" w:type="dxa"/>
            <w:bottom w:w="0" w:type="dxa"/>
            <w:right w:w="113" w:type="dxa"/>
          </w:tblCellMar>
        </w:tblPrEx>
        <w:trPr>
          <w:trHeight w:val="309" w:hRule="atLeast"/>
          <w:jc w:val="center"/>
        </w:trPr>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粒数/1000g</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1000</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1080</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1160</w:t>
            </w:r>
          </w:p>
        </w:tc>
      </w:tr>
      <w:tr>
        <w:tblPrEx>
          <w:tblCellMar>
            <w:top w:w="0" w:type="dxa"/>
            <w:left w:w="115" w:type="dxa"/>
            <w:bottom w:w="0" w:type="dxa"/>
            <w:right w:w="113" w:type="dxa"/>
          </w:tblCellMar>
        </w:tblPrEx>
        <w:trPr>
          <w:trHeight w:val="311" w:hRule="atLeast"/>
          <w:jc w:val="center"/>
        </w:trPr>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通芯率，％</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98</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95</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90</w:t>
            </w:r>
          </w:p>
        </w:tc>
      </w:tr>
      <w:tr>
        <w:tblPrEx>
          <w:tblCellMar>
            <w:top w:w="0" w:type="dxa"/>
            <w:left w:w="115" w:type="dxa"/>
            <w:bottom w:w="0" w:type="dxa"/>
            <w:right w:w="113" w:type="dxa"/>
          </w:tblCellMar>
        </w:tblPrEx>
        <w:trPr>
          <w:trHeight w:val="316" w:hRule="atLeast"/>
          <w:jc w:val="center"/>
        </w:trPr>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净度，％</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100</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99</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98</w:t>
            </w:r>
          </w:p>
        </w:tc>
      </w:tr>
      <w:tr>
        <w:tblPrEx>
          <w:tblCellMar>
            <w:top w:w="0" w:type="dxa"/>
            <w:left w:w="115" w:type="dxa"/>
            <w:bottom w:w="0" w:type="dxa"/>
            <w:right w:w="113" w:type="dxa"/>
          </w:tblCellMar>
        </w:tblPrEx>
        <w:trPr>
          <w:trHeight w:val="309" w:hRule="atLeast"/>
          <w:jc w:val="center"/>
        </w:trPr>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缺陷率，％</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3</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6</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rPr>
                <w:rFonts w:hint="eastAsia"/>
              </w:rPr>
              <w:t>≤</w:t>
            </w:r>
            <w:r>
              <w:t>12</w:t>
            </w:r>
          </w:p>
        </w:tc>
      </w:tr>
      <w:tr>
        <w:tblPrEx>
          <w:tblCellMar>
            <w:top w:w="0" w:type="dxa"/>
            <w:left w:w="115" w:type="dxa"/>
            <w:bottom w:w="0" w:type="dxa"/>
            <w:right w:w="113" w:type="dxa"/>
          </w:tblCellMar>
        </w:tblPrEx>
        <w:trPr>
          <w:trHeight w:val="248" w:hRule="atLeast"/>
          <w:jc w:val="center"/>
        </w:trPr>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霉变、虫蛀</w:t>
            </w:r>
          </w:p>
        </w:tc>
        <w:tc>
          <w:tcPr>
            <w:tcW w:w="198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无</w:t>
            </w:r>
          </w:p>
        </w:tc>
        <w:tc>
          <w:tcPr>
            <w:tcW w:w="1985" w:type="dxa"/>
            <w:tcBorders>
              <w:top w:val="single" w:color="000000" w:sz="2" w:space="0"/>
              <w:left w:val="single" w:color="000000" w:sz="2" w:space="0"/>
              <w:bottom w:val="single" w:color="000000" w:sz="2" w:space="0"/>
              <w:right w:val="nil"/>
            </w:tcBorders>
            <w:vAlign w:val="center"/>
          </w:tcPr>
          <w:p>
            <w:pPr>
              <w:pStyle w:val="20"/>
              <w:spacing w:before="156" w:after="156"/>
              <w:ind w:firstLine="0" w:firstLineChars="0"/>
            </w:pPr>
            <w:r>
              <w:t>无</w:t>
            </w:r>
          </w:p>
        </w:tc>
        <w:tc>
          <w:tcPr>
            <w:tcW w:w="1985" w:type="dxa"/>
            <w:tcBorders>
              <w:top w:val="single" w:color="000000" w:sz="2" w:space="0"/>
              <w:left w:val="nil"/>
              <w:bottom w:val="single" w:color="000000" w:sz="2" w:space="0"/>
              <w:right w:val="single" w:color="000000" w:sz="2" w:space="0"/>
            </w:tcBorders>
            <w:vAlign w:val="center"/>
          </w:tcPr>
          <w:p>
            <w:pPr>
              <w:pStyle w:val="20"/>
              <w:spacing w:before="156" w:after="156"/>
              <w:ind w:firstLine="0" w:firstLineChars="0"/>
            </w:pPr>
            <w:r>
              <w:t>无</w:t>
            </w:r>
          </w:p>
        </w:tc>
      </w:tr>
    </w:tbl>
    <w:p>
      <w:pPr>
        <w:ind w:left="117" w:firstLine="420"/>
        <w:jc w:val="left"/>
      </w:pPr>
    </w:p>
    <w:p>
      <w:pPr>
        <w:pStyle w:val="34"/>
        <w:numPr>
          <w:ilvl w:val="2"/>
          <w:numId w:val="3"/>
        </w:numPr>
        <w:spacing w:before="156" w:after="156" w:line="240" w:lineRule="auto"/>
      </w:pPr>
      <w:r>
        <w:t>磨皮白莲</w:t>
      </w:r>
    </w:p>
    <w:p>
      <w:pPr>
        <w:ind w:firstLine="550" w:firstLineChars="250"/>
        <w:rPr>
          <w:rStyle w:val="42"/>
        </w:rPr>
      </w:pPr>
      <w:r>
        <w:rPr>
          <w:rStyle w:val="42"/>
        </w:rPr>
        <w:t>感官指标应符合表3的规定。</w:t>
      </w:r>
    </w:p>
    <w:p>
      <w:pPr>
        <w:ind w:firstLine="2940" w:firstLineChars="1400"/>
        <w:rPr>
          <w:rFonts w:ascii="宋体" w:cs="宋体"/>
          <w:bCs/>
        </w:rPr>
      </w:pPr>
      <w:r>
        <w:rPr>
          <w:rFonts w:hint="eastAsia" w:ascii="宋体" w:cs="宋体"/>
          <w:bCs/>
        </w:rPr>
        <w:t>表3 磨皮白莲感官指标</w:t>
      </w:r>
    </w:p>
    <w:tbl>
      <w:tblPr>
        <w:tblStyle w:val="8"/>
        <w:tblW w:w="9272" w:type="dxa"/>
        <w:jc w:val="center"/>
        <w:tblLayout w:type="autofit"/>
        <w:tblCellMar>
          <w:top w:w="32" w:type="dxa"/>
          <w:left w:w="108" w:type="dxa"/>
          <w:bottom w:w="0" w:type="dxa"/>
          <w:right w:w="105" w:type="dxa"/>
        </w:tblCellMar>
      </w:tblPr>
      <w:tblGrid>
        <w:gridCol w:w="2099"/>
        <w:gridCol w:w="2457"/>
        <w:gridCol w:w="2449"/>
        <w:gridCol w:w="2267"/>
      </w:tblGrid>
      <w:tr>
        <w:tblPrEx>
          <w:tblCellMar>
            <w:top w:w="32" w:type="dxa"/>
            <w:left w:w="108" w:type="dxa"/>
            <w:bottom w:w="0" w:type="dxa"/>
            <w:right w:w="105" w:type="dxa"/>
          </w:tblCellMar>
        </w:tblPrEx>
        <w:trPr>
          <w:trHeight w:val="353" w:hRule="atLeast"/>
          <w:jc w:val="center"/>
        </w:trPr>
        <w:tc>
          <w:tcPr>
            <w:tcW w:w="2099" w:type="dxa"/>
            <w:vMerge w:val="restart"/>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项 目</w:t>
            </w:r>
          </w:p>
        </w:tc>
        <w:tc>
          <w:tcPr>
            <w:tcW w:w="2457" w:type="dxa"/>
            <w:tcBorders>
              <w:top w:val="single" w:color="000000" w:sz="2" w:space="0"/>
              <w:left w:val="single" w:color="000000" w:sz="2" w:space="0"/>
              <w:bottom w:val="single" w:color="000000" w:sz="2" w:space="0"/>
              <w:right w:val="nil"/>
            </w:tcBorders>
          </w:tcPr>
          <w:p>
            <w:pPr>
              <w:pStyle w:val="20"/>
              <w:spacing w:before="156" w:after="156"/>
              <w:ind w:firstLine="0" w:firstLineChars="0"/>
            </w:pPr>
          </w:p>
        </w:tc>
        <w:tc>
          <w:tcPr>
            <w:tcW w:w="2449" w:type="dxa"/>
            <w:tcBorders>
              <w:top w:val="single" w:color="000000" w:sz="2" w:space="0"/>
              <w:left w:val="nil"/>
              <w:bottom w:val="single" w:color="000000" w:sz="2" w:space="0"/>
              <w:right w:val="nil"/>
            </w:tcBorders>
          </w:tcPr>
          <w:p>
            <w:pPr>
              <w:pStyle w:val="20"/>
              <w:spacing w:before="156" w:after="156"/>
              <w:ind w:firstLine="0" w:firstLineChars="0"/>
            </w:pPr>
            <w:r>
              <w:t>等级</w:t>
            </w:r>
          </w:p>
        </w:tc>
        <w:tc>
          <w:tcPr>
            <w:tcW w:w="2267" w:type="dxa"/>
            <w:tcBorders>
              <w:top w:val="single" w:color="000000" w:sz="2" w:space="0"/>
              <w:left w:val="nil"/>
              <w:bottom w:val="single" w:color="000000" w:sz="2" w:space="0"/>
              <w:right w:val="single" w:color="000000" w:sz="2" w:space="0"/>
            </w:tcBorders>
          </w:tcPr>
          <w:p>
            <w:pPr>
              <w:pStyle w:val="20"/>
              <w:spacing w:before="156" w:after="156"/>
              <w:ind w:firstLine="0" w:firstLineChars="0"/>
            </w:pPr>
          </w:p>
        </w:tc>
      </w:tr>
      <w:tr>
        <w:tblPrEx>
          <w:tblCellMar>
            <w:top w:w="32" w:type="dxa"/>
            <w:left w:w="108" w:type="dxa"/>
            <w:bottom w:w="0" w:type="dxa"/>
            <w:right w:w="105" w:type="dxa"/>
          </w:tblCellMar>
        </w:tblPrEx>
        <w:trPr>
          <w:trHeight w:val="346" w:hRule="atLeast"/>
          <w:jc w:val="center"/>
        </w:trPr>
        <w:tc>
          <w:tcPr>
            <w:tcW w:w="0" w:type="auto"/>
            <w:vMerge w:val="continue"/>
            <w:tcBorders>
              <w:top w:val="nil"/>
              <w:left w:val="single" w:color="000000" w:sz="2" w:space="0"/>
              <w:bottom w:val="single" w:color="000000" w:sz="2" w:space="0"/>
              <w:right w:val="single" w:color="000000" w:sz="2" w:space="0"/>
            </w:tcBorders>
          </w:tcPr>
          <w:p>
            <w:pPr>
              <w:ind w:firstLine="420"/>
            </w:pPr>
          </w:p>
        </w:tc>
        <w:tc>
          <w:tcPr>
            <w:tcW w:w="245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630" w:firstLineChars="300"/>
            </w:pPr>
            <w:r>
              <w:t>一级</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pPr>
            <w:r>
              <w:t>二级</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pPr>
            <w:r>
              <w:t>二级</w:t>
            </w:r>
          </w:p>
        </w:tc>
      </w:tr>
      <w:tr>
        <w:tblPrEx>
          <w:tblCellMar>
            <w:top w:w="32" w:type="dxa"/>
            <w:left w:w="108" w:type="dxa"/>
            <w:bottom w:w="0" w:type="dxa"/>
            <w:right w:w="105" w:type="dxa"/>
          </w:tblCellMar>
        </w:tblPrEx>
        <w:trPr>
          <w:trHeight w:val="1315" w:hRule="atLeast"/>
          <w:jc w:val="center"/>
        </w:trPr>
        <w:tc>
          <w:tcPr>
            <w:tcW w:w="2099"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形状、色泽与气味</w:t>
            </w:r>
          </w:p>
        </w:tc>
        <w:tc>
          <w:tcPr>
            <w:tcW w:w="245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近圆柱形，表面光滑，乳白色，胚芽端留有紫褐色环、色泽一致。有莲子固有的清香，无异味</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近圆柱形，表面光滑，乳白色，胚芽端及柱面有紫褐色环和色斑，色泽基本一致。有莲子固有的清香，无异味</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近圆柱形，表面光滑，乳白色或乳白微黄，胚芽端及柱面有紫褐色环和色斑。有莲子固有的清香，无异味</w:t>
            </w:r>
          </w:p>
        </w:tc>
      </w:tr>
      <w:tr>
        <w:tblPrEx>
          <w:tblCellMar>
            <w:top w:w="32" w:type="dxa"/>
            <w:left w:w="108" w:type="dxa"/>
            <w:bottom w:w="0" w:type="dxa"/>
            <w:right w:w="105" w:type="dxa"/>
          </w:tblCellMar>
        </w:tblPrEx>
        <w:trPr>
          <w:trHeight w:val="291"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粒数/1000 g</w:t>
            </w:r>
          </w:p>
        </w:tc>
        <w:tc>
          <w:tcPr>
            <w:tcW w:w="245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1250</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1300</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1400</w:t>
            </w:r>
          </w:p>
        </w:tc>
      </w:tr>
      <w:tr>
        <w:tblPrEx>
          <w:tblCellMar>
            <w:top w:w="32" w:type="dxa"/>
            <w:left w:w="108" w:type="dxa"/>
            <w:bottom w:w="0" w:type="dxa"/>
            <w:right w:w="105" w:type="dxa"/>
          </w:tblCellMar>
        </w:tblPrEx>
        <w:trPr>
          <w:trHeight w:val="293"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通芯率，％</w:t>
            </w:r>
          </w:p>
        </w:tc>
        <w:tc>
          <w:tcPr>
            <w:tcW w:w="245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98</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95</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90</w:t>
            </w:r>
          </w:p>
        </w:tc>
      </w:tr>
      <w:tr>
        <w:tblPrEx>
          <w:tblCellMar>
            <w:top w:w="32" w:type="dxa"/>
            <w:left w:w="108" w:type="dxa"/>
            <w:bottom w:w="0" w:type="dxa"/>
            <w:right w:w="105" w:type="dxa"/>
          </w:tblCellMar>
        </w:tblPrEx>
        <w:trPr>
          <w:trHeight w:val="288"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净度，％</w:t>
            </w:r>
          </w:p>
        </w:tc>
        <w:tc>
          <w:tcPr>
            <w:tcW w:w="245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100</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99</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98</w:t>
            </w:r>
          </w:p>
        </w:tc>
      </w:tr>
      <w:tr>
        <w:tblPrEx>
          <w:tblCellMar>
            <w:top w:w="32" w:type="dxa"/>
            <w:left w:w="108" w:type="dxa"/>
            <w:bottom w:w="0" w:type="dxa"/>
            <w:right w:w="105" w:type="dxa"/>
          </w:tblCellMar>
        </w:tblPrEx>
        <w:trPr>
          <w:trHeight w:val="281"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缺陷率，％</w:t>
            </w:r>
          </w:p>
        </w:tc>
        <w:tc>
          <w:tcPr>
            <w:tcW w:w="245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1</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4</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8</w:t>
            </w:r>
          </w:p>
        </w:tc>
      </w:tr>
      <w:tr>
        <w:tblPrEx>
          <w:tblCellMar>
            <w:top w:w="32" w:type="dxa"/>
            <w:left w:w="108" w:type="dxa"/>
            <w:bottom w:w="0" w:type="dxa"/>
            <w:right w:w="105" w:type="dxa"/>
          </w:tblCellMar>
        </w:tblPrEx>
        <w:trPr>
          <w:trHeight w:val="285"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霉变、虫蛀</w:t>
            </w:r>
          </w:p>
        </w:tc>
        <w:tc>
          <w:tcPr>
            <w:tcW w:w="245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无</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无</w:t>
            </w:r>
          </w:p>
        </w:tc>
      </w:tr>
    </w:tbl>
    <w:p>
      <w:pPr>
        <w:pStyle w:val="34"/>
        <w:spacing w:before="156" w:after="156"/>
      </w:pPr>
    </w:p>
    <w:p>
      <w:pPr>
        <w:pStyle w:val="34"/>
        <w:numPr>
          <w:ilvl w:val="2"/>
          <w:numId w:val="3"/>
        </w:numPr>
        <w:spacing w:before="156" w:after="156" w:line="240" w:lineRule="auto"/>
      </w:pPr>
      <w:r>
        <w:t>通芯白莲</w:t>
      </w:r>
    </w:p>
    <w:p>
      <w:pPr>
        <w:ind w:firstLine="440"/>
        <w:rPr>
          <w:rStyle w:val="42"/>
        </w:rPr>
      </w:pPr>
      <w:r>
        <w:rPr>
          <w:rStyle w:val="42"/>
        </w:rPr>
        <w:t>感官指标应符合表4的规定。</w:t>
      </w:r>
    </w:p>
    <w:p>
      <w:pPr>
        <w:ind w:firstLine="2940" w:firstLineChars="1400"/>
        <w:rPr>
          <w:b/>
        </w:rPr>
      </w:pPr>
      <w:r>
        <w:rPr>
          <w:rFonts w:hint="eastAsia" w:ascii="宋体" w:cs="宋体"/>
          <w:bCs/>
        </w:rPr>
        <w:t>表4 通芯白莲感官指标</w:t>
      </w:r>
    </w:p>
    <w:tbl>
      <w:tblPr>
        <w:tblStyle w:val="8"/>
        <w:tblW w:w="9265" w:type="dxa"/>
        <w:jc w:val="center"/>
        <w:tblLayout w:type="autofit"/>
        <w:tblCellMar>
          <w:top w:w="36" w:type="dxa"/>
          <w:left w:w="111" w:type="dxa"/>
          <w:bottom w:w="0" w:type="dxa"/>
          <w:right w:w="104" w:type="dxa"/>
        </w:tblCellMar>
      </w:tblPr>
      <w:tblGrid>
        <w:gridCol w:w="2099"/>
        <w:gridCol w:w="2453"/>
        <w:gridCol w:w="2453"/>
        <w:gridCol w:w="2260"/>
      </w:tblGrid>
      <w:tr>
        <w:tblPrEx>
          <w:tblCellMar>
            <w:top w:w="36" w:type="dxa"/>
            <w:left w:w="111" w:type="dxa"/>
            <w:bottom w:w="0" w:type="dxa"/>
            <w:right w:w="104" w:type="dxa"/>
          </w:tblCellMar>
        </w:tblPrEx>
        <w:trPr>
          <w:trHeight w:val="357" w:hRule="atLeast"/>
          <w:jc w:val="center"/>
        </w:trPr>
        <w:tc>
          <w:tcPr>
            <w:tcW w:w="2099" w:type="dxa"/>
            <w:vMerge w:val="restart"/>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项 目</w:t>
            </w:r>
          </w:p>
        </w:tc>
        <w:tc>
          <w:tcPr>
            <w:tcW w:w="2453" w:type="dxa"/>
            <w:tcBorders>
              <w:top w:val="single" w:color="000000" w:sz="2" w:space="0"/>
              <w:left w:val="single" w:color="000000" w:sz="2" w:space="0"/>
              <w:bottom w:val="single" w:color="000000" w:sz="2" w:space="0"/>
              <w:right w:val="nil"/>
            </w:tcBorders>
          </w:tcPr>
          <w:p>
            <w:pPr>
              <w:pStyle w:val="20"/>
              <w:spacing w:before="156" w:after="156"/>
              <w:ind w:firstLine="0" w:firstLineChars="0"/>
            </w:pPr>
          </w:p>
        </w:tc>
        <w:tc>
          <w:tcPr>
            <w:tcW w:w="2453" w:type="dxa"/>
            <w:tcBorders>
              <w:top w:val="single" w:color="000000" w:sz="2" w:space="0"/>
              <w:left w:val="nil"/>
              <w:bottom w:val="single" w:color="000000" w:sz="2" w:space="0"/>
              <w:right w:val="nil"/>
            </w:tcBorders>
          </w:tcPr>
          <w:p>
            <w:pPr>
              <w:pStyle w:val="20"/>
              <w:spacing w:before="156" w:after="156"/>
              <w:ind w:firstLine="0" w:firstLineChars="0"/>
            </w:pPr>
            <w:r>
              <w:t>等级</w:t>
            </w:r>
          </w:p>
        </w:tc>
        <w:tc>
          <w:tcPr>
            <w:tcW w:w="2259" w:type="dxa"/>
            <w:tcBorders>
              <w:top w:val="single" w:color="000000" w:sz="2" w:space="0"/>
              <w:left w:val="nil"/>
              <w:bottom w:val="single" w:color="000000" w:sz="2" w:space="0"/>
              <w:right w:val="single" w:color="000000" w:sz="2" w:space="0"/>
            </w:tcBorders>
          </w:tcPr>
          <w:p>
            <w:pPr>
              <w:pStyle w:val="20"/>
              <w:spacing w:before="156" w:after="156"/>
              <w:ind w:firstLine="0" w:firstLineChars="0"/>
            </w:pPr>
          </w:p>
        </w:tc>
      </w:tr>
      <w:tr>
        <w:tblPrEx>
          <w:tblCellMar>
            <w:top w:w="36" w:type="dxa"/>
            <w:left w:w="111" w:type="dxa"/>
            <w:bottom w:w="0" w:type="dxa"/>
            <w:right w:w="104" w:type="dxa"/>
          </w:tblCellMar>
        </w:tblPrEx>
        <w:trPr>
          <w:trHeight w:val="341" w:hRule="atLeast"/>
          <w:jc w:val="center"/>
        </w:trPr>
        <w:tc>
          <w:tcPr>
            <w:tcW w:w="0" w:type="auto"/>
            <w:vMerge w:val="continue"/>
            <w:tcBorders>
              <w:top w:val="nil"/>
              <w:left w:val="single" w:color="000000" w:sz="2" w:space="0"/>
              <w:bottom w:val="single" w:color="000000" w:sz="2" w:space="0"/>
              <w:right w:val="single" w:color="000000" w:sz="2" w:space="0"/>
            </w:tcBorders>
          </w:tcPr>
          <w:p>
            <w:pPr>
              <w:ind w:firstLine="420"/>
            </w:pP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840" w:firstLineChars="400"/>
            </w:pPr>
            <w:r>
              <w:rPr>
                <w:rFonts w:hint="eastAsia"/>
              </w:rPr>
              <w:t>一级</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840" w:firstLineChars="400"/>
            </w:pPr>
            <w:r>
              <w:rPr>
                <w:rFonts w:hint="eastAsia"/>
              </w:rPr>
              <w:t>二级</w:t>
            </w:r>
          </w:p>
        </w:tc>
        <w:tc>
          <w:tcPr>
            <w:tcW w:w="22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840" w:firstLineChars="400"/>
            </w:pPr>
            <w:r>
              <w:rPr>
                <w:rFonts w:hint="eastAsia"/>
              </w:rPr>
              <w:t>三级</w:t>
            </w:r>
          </w:p>
        </w:tc>
      </w:tr>
      <w:tr>
        <w:tblPrEx>
          <w:tblCellMar>
            <w:top w:w="36" w:type="dxa"/>
            <w:left w:w="111" w:type="dxa"/>
            <w:bottom w:w="0" w:type="dxa"/>
            <w:right w:w="104" w:type="dxa"/>
          </w:tblCellMar>
        </w:tblPrEx>
        <w:trPr>
          <w:trHeight w:val="371" w:hRule="atLeast"/>
          <w:jc w:val="center"/>
        </w:trPr>
        <w:tc>
          <w:tcPr>
            <w:tcW w:w="2099"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色泽、形状与气味</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颗粒卵圆、均匀一致，表面乳白微黄，色泽一致。有莲子固有的清香，无异味</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颗粒卵圆，均匀一致，表面微皱，色泽乳白微黄。有莲子固有的清香，无异味</w:t>
            </w:r>
          </w:p>
        </w:tc>
        <w:tc>
          <w:tcPr>
            <w:tcW w:w="22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颗粒圆形或卵圆形，表面微皱、乳白微黄或黄色。有莲子固有的清香，无异味</w:t>
            </w:r>
          </w:p>
        </w:tc>
      </w:tr>
      <w:tr>
        <w:tblPrEx>
          <w:tblCellMar>
            <w:top w:w="36" w:type="dxa"/>
            <w:left w:w="111" w:type="dxa"/>
            <w:bottom w:w="0" w:type="dxa"/>
            <w:right w:w="104" w:type="dxa"/>
          </w:tblCellMar>
        </w:tblPrEx>
        <w:trPr>
          <w:trHeight w:val="288"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粒数/1000g</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1000</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1100</w:t>
            </w:r>
          </w:p>
        </w:tc>
        <w:tc>
          <w:tcPr>
            <w:tcW w:w="22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1200</w:t>
            </w:r>
          </w:p>
        </w:tc>
      </w:tr>
      <w:tr>
        <w:tblPrEx>
          <w:tblCellMar>
            <w:top w:w="36" w:type="dxa"/>
            <w:left w:w="111" w:type="dxa"/>
            <w:bottom w:w="0" w:type="dxa"/>
            <w:right w:w="104" w:type="dxa"/>
          </w:tblCellMar>
        </w:tblPrEx>
        <w:trPr>
          <w:trHeight w:val="284"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通芯率，%</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98</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95</w:t>
            </w:r>
          </w:p>
        </w:tc>
        <w:tc>
          <w:tcPr>
            <w:tcW w:w="22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90</w:t>
            </w:r>
          </w:p>
        </w:tc>
      </w:tr>
      <w:tr>
        <w:tblPrEx>
          <w:tblCellMar>
            <w:top w:w="36" w:type="dxa"/>
            <w:left w:w="111" w:type="dxa"/>
            <w:bottom w:w="0" w:type="dxa"/>
            <w:right w:w="104" w:type="dxa"/>
          </w:tblCellMar>
        </w:tblPrEx>
        <w:trPr>
          <w:trHeight w:val="278"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净度，％</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100</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99</w:t>
            </w:r>
          </w:p>
        </w:tc>
        <w:tc>
          <w:tcPr>
            <w:tcW w:w="22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98</w:t>
            </w:r>
          </w:p>
        </w:tc>
      </w:tr>
      <w:tr>
        <w:tblPrEx>
          <w:tblCellMar>
            <w:top w:w="36" w:type="dxa"/>
            <w:left w:w="111" w:type="dxa"/>
            <w:bottom w:w="0" w:type="dxa"/>
            <w:right w:w="104" w:type="dxa"/>
          </w:tblCellMar>
        </w:tblPrEx>
        <w:trPr>
          <w:trHeight w:val="404"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缺陷率，％</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2</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≤5</w:t>
            </w:r>
          </w:p>
        </w:tc>
        <w:tc>
          <w:tcPr>
            <w:tcW w:w="22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10</w:t>
            </w:r>
          </w:p>
        </w:tc>
      </w:tr>
      <w:tr>
        <w:tblPrEx>
          <w:tblCellMar>
            <w:top w:w="36" w:type="dxa"/>
            <w:left w:w="111" w:type="dxa"/>
            <w:bottom w:w="0" w:type="dxa"/>
            <w:right w:w="104" w:type="dxa"/>
          </w:tblCellMar>
        </w:tblPrEx>
        <w:trPr>
          <w:trHeight w:val="293" w:hRule="atLeast"/>
          <w:jc w:val="center"/>
        </w:trPr>
        <w:tc>
          <w:tcPr>
            <w:tcW w:w="209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霉变、虫蛀</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无</w:t>
            </w:r>
          </w:p>
        </w:tc>
        <w:tc>
          <w:tcPr>
            <w:tcW w:w="245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无</w:t>
            </w:r>
          </w:p>
        </w:tc>
        <w:tc>
          <w:tcPr>
            <w:tcW w:w="22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无</w:t>
            </w:r>
          </w:p>
        </w:tc>
      </w:tr>
    </w:tbl>
    <w:p>
      <w:pPr>
        <w:pStyle w:val="34"/>
        <w:spacing w:before="156" w:after="156"/>
      </w:pPr>
    </w:p>
    <w:p>
      <w:pPr>
        <w:pStyle w:val="34"/>
        <w:numPr>
          <w:ilvl w:val="2"/>
          <w:numId w:val="3"/>
        </w:numPr>
        <w:spacing w:before="156" w:after="156" w:line="240" w:lineRule="auto"/>
      </w:pPr>
      <w:r>
        <w:t>开边莲</w:t>
      </w:r>
    </w:p>
    <w:p>
      <w:pPr>
        <w:ind w:firstLine="440"/>
      </w:pPr>
      <w:r>
        <w:rPr>
          <w:rStyle w:val="42"/>
        </w:rPr>
        <w:t>感官指标应符合表5的规定。</w:t>
      </w:r>
    </w:p>
    <w:p>
      <w:pPr>
        <w:ind w:firstLine="2940" w:firstLineChars="1400"/>
        <w:rPr>
          <w:rStyle w:val="42"/>
          <w:sz w:val="21"/>
          <w:szCs w:val="21"/>
        </w:rPr>
      </w:pPr>
      <w:r>
        <w:rPr>
          <w:rStyle w:val="42"/>
          <w:sz w:val="21"/>
          <w:szCs w:val="21"/>
        </w:rPr>
        <w:t>表5 开边莲感官指标</w:t>
      </w:r>
    </w:p>
    <w:tbl>
      <w:tblPr>
        <w:tblStyle w:val="8"/>
        <w:tblW w:w="9272" w:type="dxa"/>
        <w:jc w:val="center"/>
        <w:tblLayout w:type="autofit"/>
        <w:tblCellMar>
          <w:top w:w="36" w:type="dxa"/>
          <w:left w:w="111" w:type="dxa"/>
          <w:bottom w:w="0" w:type="dxa"/>
          <w:right w:w="101" w:type="dxa"/>
        </w:tblCellMar>
      </w:tblPr>
      <w:tblGrid>
        <w:gridCol w:w="1815"/>
        <w:gridCol w:w="2741"/>
        <w:gridCol w:w="2449"/>
        <w:gridCol w:w="2267"/>
      </w:tblGrid>
      <w:tr>
        <w:tblPrEx>
          <w:tblCellMar>
            <w:top w:w="36" w:type="dxa"/>
            <w:left w:w="111" w:type="dxa"/>
            <w:bottom w:w="0" w:type="dxa"/>
            <w:right w:w="101" w:type="dxa"/>
          </w:tblCellMar>
        </w:tblPrEx>
        <w:trPr>
          <w:trHeight w:val="357" w:hRule="atLeast"/>
          <w:jc w:val="center"/>
        </w:trPr>
        <w:tc>
          <w:tcPr>
            <w:tcW w:w="1815" w:type="dxa"/>
            <w:vMerge w:val="restart"/>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项 目</w:t>
            </w:r>
          </w:p>
        </w:tc>
        <w:tc>
          <w:tcPr>
            <w:tcW w:w="2741" w:type="dxa"/>
            <w:tcBorders>
              <w:top w:val="single" w:color="000000" w:sz="2" w:space="0"/>
              <w:left w:val="single" w:color="000000" w:sz="2" w:space="0"/>
              <w:bottom w:val="single" w:color="000000" w:sz="2" w:space="0"/>
              <w:right w:val="nil"/>
            </w:tcBorders>
          </w:tcPr>
          <w:p>
            <w:pPr>
              <w:pStyle w:val="20"/>
              <w:spacing w:before="156" w:after="156"/>
              <w:ind w:firstLine="0" w:firstLineChars="0"/>
            </w:pPr>
          </w:p>
        </w:tc>
        <w:tc>
          <w:tcPr>
            <w:tcW w:w="2449" w:type="dxa"/>
            <w:tcBorders>
              <w:top w:val="single" w:color="000000" w:sz="2" w:space="0"/>
              <w:left w:val="nil"/>
              <w:bottom w:val="single" w:color="000000" w:sz="2" w:space="0"/>
              <w:right w:val="nil"/>
            </w:tcBorders>
          </w:tcPr>
          <w:p>
            <w:pPr>
              <w:pStyle w:val="20"/>
              <w:spacing w:before="156" w:after="156"/>
              <w:ind w:firstLine="0" w:firstLineChars="0"/>
            </w:pPr>
            <w:r>
              <w:t>等级</w:t>
            </w:r>
          </w:p>
        </w:tc>
        <w:tc>
          <w:tcPr>
            <w:tcW w:w="2267" w:type="dxa"/>
            <w:tcBorders>
              <w:top w:val="single" w:color="000000" w:sz="2" w:space="0"/>
              <w:left w:val="nil"/>
              <w:bottom w:val="single" w:color="000000" w:sz="2" w:space="0"/>
              <w:right w:val="single" w:color="000000" w:sz="2" w:space="0"/>
            </w:tcBorders>
          </w:tcPr>
          <w:p>
            <w:pPr>
              <w:pStyle w:val="20"/>
              <w:spacing w:before="156" w:after="156"/>
              <w:ind w:firstLine="0" w:firstLineChars="0"/>
            </w:pPr>
          </w:p>
        </w:tc>
      </w:tr>
      <w:tr>
        <w:tblPrEx>
          <w:tblCellMar>
            <w:top w:w="36" w:type="dxa"/>
            <w:left w:w="111" w:type="dxa"/>
            <w:bottom w:w="0" w:type="dxa"/>
            <w:right w:w="101" w:type="dxa"/>
          </w:tblCellMar>
        </w:tblPrEx>
        <w:trPr>
          <w:trHeight w:val="339" w:hRule="atLeast"/>
          <w:jc w:val="center"/>
        </w:trPr>
        <w:tc>
          <w:tcPr>
            <w:tcW w:w="1815" w:type="dxa"/>
            <w:vMerge w:val="continue"/>
            <w:tcBorders>
              <w:top w:val="nil"/>
              <w:left w:val="single" w:color="000000" w:sz="2" w:space="0"/>
              <w:bottom w:val="single" w:color="000000" w:sz="2" w:space="0"/>
              <w:right w:val="single" w:color="000000" w:sz="2" w:space="0"/>
            </w:tcBorders>
          </w:tcPr>
          <w:p>
            <w:pPr>
              <w:ind w:firstLine="420"/>
            </w:pPr>
          </w:p>
        </w:tc>
        <w:tc>
          <w:tcPr>
            <w:tcW w:w="274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特级</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210" w:firstLineChars="100"/>
            </w:pPr>
            <w:r>
              <w:t>一级</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二级（</w:t>
            </w:r>
            <w:r>
              <w:t>合格品</w:t>
            </w:r>
            <w:r>
              <w:rPr>
                <w:rFonts w:hint="eastAsia"/>
              </w:rPr>
              <w:t>）</w:t>
            </w:r>
          </w:p>
        </w:tc>
      </w:tr>
      <w:tr>
        <w:tblPrEx>
          <w:tblCellMar>
            <w:top w:w="36" w:type="dxa"/>
            <w:left w:w="111" w:type="dxa"/>
            <w:bottom w:w="0" w:type="dxa"/>
            <w:right w:w="101" w:type="dxa"/>
          </w:tblCellMar>
        </w:tblPrEx>
        <w:trPr>
          <w:trHeight w:val="1040" w:hRule="atLeast"/>
          <w:jc w:val="center"/>
        </w:trPr>
        <w:tc>
          <w:tcPr>
            <w:tcW w:w="1815" w:type="dxa"/>
            <w:tcBorders>
              <w:top w:val="single" w:color="000000" w:sz="2" w:space="0"/>
              <w:left w:val="single" w:color="000000" w:sz="2" w:space="0"/>
              <w:bottom w:val="single" w:color="000000" w:sz="2" w:space="0"/>
              <w:right w:val="single" w:color="000000" w:sz="2" w:space="0"/>
            </w:tcBorders>
            <w:vAlign w:val="center"/>
          </w:tcPr>
          <w:p>
            <w:pPr>
              <w:pStyle w:val="20"/>
              <w:spacing w:before="156" w:after="156"/>
              <w:ind w:firstLine="0" w:firstLineChars="0"/>
            </w:pPr>
            <w:r>
              <w:t>形状、色泽与气味</w:t>
            </w:r>
          </w:p>
        </w:tc>
        <w:tc>
          <w:tcPr>
            <w:tcW w:w="274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剖面卵圆形、内凹、肉质厚实，表面粉红透白，剖面乳白微黄，均匀一致。有莲子固有清香，无异味</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剖面卵圆形或圆形，内凹，表面红色、剖面乳白微黄。有莲子固有的清香，无异味</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剖面圆形或卵圆形，表面红或暗红色，剖面乳白微黄或乳黄色。有莲子固有的清香，无异味</w:t>
            </w:r>
          </w:p>
        </w:tc>
      </w:tr>
      <w:tr>
        <w:tblPrEx>
          <w:tblCellMar>
            <w:top w:w="36" w:type="dxa"/>
            <w:left w:w="111" w:type="dxa"/>
            <w:bottom w:w="0" w:type="dxa"/>
            <w:right w:w="101" w:type="dxa"/>
          </w:tblCellMar>
        </w:tblPrEx>
        <w:trPr>
          <w:trHeight w:val="281" w:hRule="atLeast"/>
          <w:jc w:val="center"/>
        </w:trPr>
        <w:tc>
          <w:tcPr>
            <w:tcW w:w="181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净度</w:t>
            </w:r>
            <w:r>
              <w:rPr>
                <w:rFonts w:hint="eastAsia"/>
              </w:rPr>
              <w:t>，%</w:t>
            </w:r>
          </w:p>
        </w:tc>
        <w:tc>
          <w:tcPr>
            <w:tcW w:w="274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100</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99</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98</w:t>
            </w:r>
          </w:p>
        </w:tc>
      </w:tr>
      <w:tr>
        <w:tblPrEx>
          <w:tblCellMar>
            <w:top w:w="36" w:type="dxa"/>
            <w:left w:w="111" w:type="dxa"/>
            <w:bottom w:w="0" w:type="dxa"/>
            <w:right w:w="101" w:type="dxa"/>
          </w:tblCellMar>
        </w:tblPrEx>
        <w:trPr>
          <w:trHeight w:val="295" w:hRule="atLeast"/>
          <w:jc w:val="center"/>
        </w:trPr>
        <w:tc>
          <w:tcPr>
            <w:tcW w:w="181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缺陷率，％</w:t>
            </w:r>
          </w:p>
        </w:tc>
        <w:tc>
          <w:tcPr>
            <w:tcW w:w="274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4</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7</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13</w:t>
            </w:r>
          </w:p>
        </w:tc>
      </w:tr>
      <w:tr>
        <w:tblPrEx>
          <w:tblCellMar>
            <w:top w:w="36" w:type="dxa"/>
            <w:left w:w="111" w:type="dxa"/>
            <w:bottom w:w="0" w:type="dxa"/>
            <w:right w:w="101" w:type="dxa"/>
          </w:tblCellMar>
        </w:tblPrEx>
        <w:trPr>
          <w:trHeight w:val="295" w:hRule="atLeast"/>
          <w:jc w:val="center"/>
        </w:trPr>
        <w:tc>
          <w:tcPr>
            <w:tcW w:w="181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霉变、虫蛀</w:t>
            </w:r>
          </w:p>
        </w:tc>
        <w:tc>
          <w:tcPr>
            <w:tcW w:w="274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无</w:t>
            </w:r>
          </w:p>
        </w:tc>
        <w:tc>
          <w:tcPr>
            <w:tcW w:w="244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无</w:t>
            </w:r>
          </w:p>
        </w:tc>
        <w:tc>
          <w:tcPr>
            <w:tcW w:w="2267"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无</w:t>
            </w:r>
          </w:p>
        </w:tc>
      </w:tr>
    </w:tbl>
    <w:p>
      <w:pPr>
        <w:pStyle w:val="24"/>
        <w:numPr>
          <w:ilvl w:val="1"/>
          <w:numId w:val="3"/>
        </w:numPr>
        <w:spacing w:before="156" w:beforeLines="0" w:after="156" w:afterLines="0"/>
      </w:pPr>
      <w:r>
        <w:rPr>
          <w:rFonts w:hint="eastAsia"/>
        </w:rPr>
        <w:t>感官检测</w:t>
      </w:r>
      <w:r>
        <w:t>（前面表格中粒数是以1000g为测量标注，前后应统一）</w:t>
      </w:r>
    </w:p>
    <w:p>
      <w:pPr>
        <w:pStyle w:val="34"/>
        <w:numPr>
          <w:ilvl w:val="2"/>
          <w:numId w:val="3"/>
        </w:numPr>
        <w:spacing w:before="156" w:after="156" w:line="240" w:lineRule="auto"/>
      </w:pPr>
      <w:r>
        <w:rPr>
          <w:rFonts w:hint="eastAsia"/>
        </w:rPr>
        <w:t>色泽、形状、虫蛀用目测检测，霉变、气味用嗅的方法检测。</w:t>
      </w:r>
    </w:p>
    <w:p>
      <w:pPr>
        <w:pStyle w:val="34"/>
        <w:numPr>
          <w:ilvl w:val="2"/>
          <w:numId w:val="3"/>
        </w:numPr>
        <w:spacing w:before="156" w:after="156" w:line="240" w:lineRule="auto"/>
      </w:pPr>
      <w:r>
        <w:rPr>
          <w:rFonts w:hint="eastAsia"/>
        </w:rPr>
        <w:t>粒数</w:t>
      </w:r>
    </w:p>
    <w:p>
      <w:pPr>
        <w:pStyle w:val="34"/>
        <w:spacing w:before="156" w:after="156"/>
        <w:ind w:firstLine="440" w:firstLineChars="200"/>
        <w:rPr>
          <w:rStyle w:val="42"/>
        </w:rPr>
      </w:pPr>
      <w:r>
        <w:rPr>
          <w:rStyle w:val="42"/>
        </w:rPr>
        <w:t>随机抽取样品1000g，数粒，重复两次，取平均值。</w:t>
      </w:r>
    </w:p>
    <w:p>
      <w:pPr>
        <w:pStyle w:val="34"/>
        <w:numPr>
          <w:ilvl w:val="2"/>
          <w:numId w:val="3"/>
        </w:numPr>
        <w:spacing w:before="156" w:after="156" w:line="240" w:lineRule="auto"/>
      </w:pPr>
      <w:r>
        <w:rPr>
          <w:rFonts w:hint="eastAsia"/>
        </w:rPr>
        <w:t>通芯率</w:t>
      </w:r>
    </w:p>
    <w:p>
      <w:pPr>
        <w:pStyle w:val="34"/>
        <w:spacing w:before="156" w:after="156"/>
        <w:ind w:firstLine="440" w:firstLineChars="200"/>
        <w:rPr>
          <w:rStyle w:val="42"/>
        </w:rPr>
      </w:pPr>
      <w:r>
        <w:rPr>
          <w:rStyle w:val="42"/>
          <w:rFonts w:hint="eastAsia"/>
        </w:rPr>
        <w:t>随机抽取样品</w:t>
      </w:r>
      <w:r>
        <w:rPr>
          <w:rStyle w:val="42"/>
        </w:rPr>
        <w:t>1000</w:t>
      </w:r>
      <w:r>
        <w:rPr>
          <w:rStyle w:val="42"/>
          <w:rFonts w:hint="eastAsia"/>
        </w:rPr>
        <w:t>g，数粒，捡去未通芯粒数，求其通芯率。通芯率按公式（1）计算。</w:t>
      </w:r>
    </w:p>
    <w:p>
      <w:pPr>
        <w:ind w:firstLine="440"/>
        <w:jc w:val="right"/>
        <w:rPr>
          <w:rStyle w:val="42"/>
        </w:rPr>
      </w:pPr>
      <w:r>
        <w:rPr>
          <w:rStyle w:val="42"/>
        </w:rPr>
        <w:object>
          <v:shape id="_x0000_i1025" o:spt="75" type="#_x0000_t75" style="height:30.75pt;width:63pt;" o:ole="t" filled="f" o:preferrelative="t" stroked="f" coordsize="21600,21600">
            <v:path/>
            <v:fill on="f" focussize="0,0"/>
            <v:stroke on="f" joinstyle="miter"/>
            <v:imagedata r:id="rId6" o:title="4895231981610936378255"/>
            <o:lock v:ext="edit" aspectratio="t"/>
            <w10:wrap type="none"/>
            <w10:anchorlock/>
          </v:shape>
          <o:OLEObject Type="Embed" ProgID="Equation.3" ShapeID="_x0000_i1025" DrawAspect="Content" ObjectID="_1468075725" r:id="rId5">
            <o:LockedField>false</o:LockedField>
          </o:OLEObject>
        </w:object>
      </w:r>
      <w:r>
        <w:rPr>
          <w:rStyle w:val="42"/>
          <w:rFonts w:hint="eastAsia"/>
        </w:rPr>
        <w:t xml:space="preserve">  ················（1）</w:t>
      </w:r>
    </w:p>
    <w:p>
      <w:pPr>
        <w:ind w:firstLine="440"/>
        <w:jc w:val="left"/>
        <w:rPr>
          <w:rStyle w:val="42"/>
        </w:rPr>
      </w:pPr>
      <w:r>
        <w:rPr>
          <w:rStyle w:val="42"/>
          <w:rFonts w:hint="eastAsia"/>
        </w:rPr>
        <w:t>式中：</w:t>
      </w:r>
    </w:p>
    <w:p>
      <w:pPr>
        <w:ind w:firstLine="1100" w:firstLineChars="500"/>
        <w:jc w:val="left"/>
        <w:rPr>
          <w:rStyle w:val="42"/>
        </w:rPr>
      </w:pPr>
      <w:r>
        <w:rPr>
          <w:rStyle w:val="42"/>
        </w:rPr>
        <w:drawing>
          <wp:anchor distT="0" distB="0" distL="114300" distR="114300" simplePos="0" relativeHeight="251659264" behindDoc="0" locked="0" layoutInCell="1" allowOverlap="1">
            <wp:simplePos x="0" y="0"/>
            <wp:positionH relativeFrom="column">
              <wp:posOffset>437515</wp:posOffset>
            </wp:positionH>
            <wp:positionV relativeFrom="paragraph">
              <wp:posOffset>5080</wp:posOffset>
            </wp:positionV>
            <wp:extent cx="219075" cy="180975"/>
            <wp:effectExtent l="0" t="0" r="0" b="0"/>
            <wp:wrapNone/>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7"/>
                    <a:stretch>
                      <a:fillRect/>
                    </a:stretch>
                  </pic:blipFill>
                  <pic:spPr>
                    <a:xfrm>
                      <a:off x="0" y="0"/>
                      <a:ext cx="219074" cy="180974"/>
                    </a:xfrm>
                    <a:prstGeom prst="rect">
                      <a:avLst/>
                    </a:prstGeom>
                    <a:noFill/>
                    <a:ln w="9525" cap="flat" cmpd="sng">
                      <a:noFill/>
                      <a:prstDash val="solid"/>
                      <a:round/>
                    </a:ln>
                  </pic:spPr>
                </pic:pic>
              </a:graphicData>
            </a:graphic>
          </wp:anchor>
        </w:drawing>
      </w:r>
      <w:r>
        <w:rPr>
          <w:rStyle w:val="42"/>
          <w:rFonts w:hint="eastAsia"/>
        </w:rPr>
        <w:t>——通芯率，以百分率表示（%），</w:t>
      </w:r>
    </w:p>
    <w:p>
      <w:pPr>
        <w:ind w:firstLine="1100" w:firstLineChars="500"/>
        <w:jc w:val="left"/>
        <w:rPr>
          <w:rStyle w:val="42"/>
        </w:rPr>
      </w:pPr>
      <w:r>
        <w:rPr>
          <w:rStyle w:val="42"/>
        </w:rPr>
        <w:drawing>
          <wp:anchor distT="0" distB="0" distL="114300" distR="114300" simplePos="0" relativeHeight="251660288" behindDoc="0" locked="0" layoutInCell="1" allowOverlap="1">
            <wp:simplePos x="0" y="0"/>
            <wp:positionH relativeFrom="column">
              <wp:posOffset>441325</wp:posOffset>
            </wp:positionH>
            <wp:positionV relativeFrom="paragraph">
              <wp:posOffset>3810</wp:posOffset>
            </wp:positionV>
            <wp:extent cx="179705" cy="19431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179704" cy="194310"/>
                    </a:xfrm>
                    <a:prstGeom prst="rect">
                      <a:avLst/>
                    </a:prstGeom>
                    <a:noFill/>
                    <a:ln w="9525" cap="flat" cmpd="sng">
                      <a:noFill/>
                      <a:prstDash val="solid"/>
                      <a:round/>
                    </a:ln>
                  </pic:spPr>
                </pic:pic>
              </a:graphicData>
            </a:graphic>
          </wp:anchor>
        </w:drawing>
      </w:r>
      <w:r>
        <w:rPr>
          <w:rStyle w:val="42"/>
          <w:rFonts w:hint="eastAsia"/>
        </w:rPr>
        <w:t>——通芯粒数，单位为粒，</w:t>
      </w:r>
    </w:p>
    <w:p>
      <w:pPr>
        <w:ind w:firstLine="1100" w:firstLineChars="500"/>
        <w:jc w:val="left"/>
        <w:rPr>
          <w:rStyle w:val="42"/>
        </w:rPr>
      </w:pPr>
      <w:r>
        <w:rPr>
          <w:rStyle w:val="42"/>
        </w:rPr>
        <w:drawing>
          <wp:anchor distT="0" distB="0" distL="114300" distR="114300" simplePos="0" relativeHeight="251661312" behindDoc="0" locked="0" layoutInCell="1" allowOverlap="1">
            <wp:simplePos x="0" y="0"/>
            <wp:positionH relativeFrom="column">
              <wp:posOffset>419100</wp:posOffset>
            </wp:positionH>
            <wp:positionV relativeFrom="paragraph">
              <wp:posOffset>16510</wp:posOffset>
            </wp:positionV>
            <wp:extent cx="215900" cy="215900"/>
            <wp:effectExtent l="0" t="0" r="0" b="0"/>
            <wp:wrapNone/>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pic:cNvPicPr>
                      <a:picLocks noChangeAspect="1"/>
                    </pic:cNvPicPr>
                  </pic:nvPicPr>
                  <pic:blipFill>
                    <a:blip r:embed="rId9"/>
                    <a:stretch>
                      <a:fillRect/>
                    </a:stretch>
                  </pic:blipFill>
                  <pic:spPr>
                    <a:xfrm>
                      <a:off x="0" y="0"/>
                      <a:ext cx="215900" cy="215900"/>
                    </a:xfrm>
                    <a:prstGeom prst="rect">
                      <a:avLst/>
                    </a:prstGeom>
                    <a:noFill/>
                    <a:ln w="9525" cap="flat" cmpd="sng">
                      <a:noFill/>
                      <a:prstDash val="solid"/>
                      <a:round/>
                    </a:ln>
                  </pic:spPr>
                </pic:pic>
              </a:graphicData>
            </a:graphic>
          </wp:anchor>
        </w:drawing>
      </w:r>
      <w:r>
        <w:rPr>
          <w:rStyle w:val="42"/>
          <w:rFonts w:hint="eastAsia"/>
        </w:rPr>
        <w:t>——样品粒数，单位为粒。</w:t>
      </w:r>
    </w:p>
    <w:p>
      <w:pPr>
        <w:pStyle w:val="34"/>
        <w:numPr>
          <w:ilvl w:val="2"/>
          <w:numId w:val="3"/>
        </w:numPr>
        <w:spacing w:before="156" w:after="156" w:line="240" w:lineRule="auto"/>
      </w:pPr>
      <w:r>
        <w:rPr>
          <w:rFonts w:hint="eastAsia"/>
        </w:rPr>
        <w:t>净度</w:t>
      </w:r>
    </w:p>
    <w:p>
      <w:pPr>
        <w:pStyle w:val="34"/>
        <w:spacing w:before="156" w:after="156"/>
        <w:ind w:firstLine="440" w:firstLineChars="200"/>
        <w:rPr>
          <w:rStyle w:val="42"/>
        </w:rPr>
      </w:pPr>
      <w:r>
        <w:rPr>
          <w:rStyle w:val="42"/>
          <w:rFonts w:hint="eastAsia"/>
        </w:rPr>
        <w:t>随机抽取样品</w:t>
      </w:r>
      <w:r>
        <w:rPr>
          <w:rStyle w:val="42"/>
        </w:rPr>
        <w:t>1000</w:t>
      </w:r>
      <w:r>
        <w:rPr>
          <w:rStyle w:val="42"/>
          <w:rFonts w:hint="eastAsia"/>
        </w:rPr>
        <w:t>g,用φ6mm孔铁筛过筛，检出杂志称量，净度按公式（2）计算。</w:t>
      </w:r>
    </w:p>
    <w:p>
      <w:pPr>
        <w:ind w:firstLine="440"/>
        <w:jc w:val="right"/>
        <w:rPr>
          <w:rStyle w:val="42"/>
        </w:rPr>
      </w:pPr>
      <w:r>
        <w:rPr>
          <w:rStyle w:val="42"/>
        </w:rPr>
        <w:object>
          <v:shape id="_x0000_i1026" o:spt="75" type="#_x0000_t75" style="height:30.75pt;width:108pt;" o:ole="t" filled="f" o:preferrelative="t" stroked="f" coordsize="21600,21600">
            <v:path/>
            <v:fill on="f" focussize="0,0"/>
            <v:stroke on="f" joinstyle="miter"/>
            <v:imagedata r:id="rId11" o:title="6172874271610936378277"/>
            <o:lock v:ext="edit" aspectratio="t"/>
            <w10:wrap type="none"/>
            <w10:anchorlock/>
          </v:shape>
          <o:OLEObject Type="Embed" ProgID="Equation.3" ShapeID="_x0000_i1026" DrawAspect="Content" ObjectID="_1468075726" r:id="rId10">
            <o:LockedField>false</o:LockedField>
          </o:OLEObject>
        </w:object>
      </w:r>
      <w:r>
        <w:rPr>
          <w:rStyle w:val="42"/>
          <w:rFonts w:hint="eastAsia"/>
        </w:rPr>
        <w:t>·············（2）</w:t>
      </w:r>
    </w:p>
    <w:p>
      <w:pPr>
        <w:ind w:firstLine="440"/>
        <w:jc w:val="left"/>
        <w:rPr>
          <w:rStyle w:val="42"/>
        </w:rPr>
      </w:pPr>
      <w:r>
        <w:rPr>
          <w:rStyle w:val="42"/>
          <w:rFonts w:hint="eastAsia"/>
        </w:rPr>
        <w:t>式中：</w:t>
      </w:r>
    </w:p>
    <w:p>
      <w:pPr>
        <w:ind w:firstLine="1100" w:firstLineChars="500"/>
        <w:jc w:val="left"/>
        <w:rPr>
          <w:rStyle w:val="42"/>
        </w:rPr>
      </w:pPr>
      <w:r>
        <w:rPr>
          <w:rStyle w:val="42"/>
        </w:rPr>
        <w:drawing>
          <wp:anchor distT="0" distB="0" distL="114300" distR="114300" simplePos="0" relativeHeight="251662336" behindDoc="0" locked="0" layoutInCell="1" allowOverlap="1">
            <wp:simplePos x="0" y="0"/>
            <wp:positionH relativeFrom="column">
              <wp:posOffset>457200</wp:posOffset>
            </wp:positionH>
            <wp:positionV relativeFrom="paragraph">
              <wp:posOffset>3810</wp:posOffset>
            </wp:positionV>
            <wp:extent cx="231140" cy="179705"/>
            <wp:effectExtent l="0" t="0" r="0" b="0"/>
            <wp:wrapNone/>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2"/>
                    <a:stretch>
                      <a:fillRect/>
                    </a:stretch>
                  </pic:blipFill>
                  <pic:spPr>
                    <a:xfrm>
                      <a:off x="0" y="0"/>
                      <a:ext cx="231140" cy="179705"/>
                    </a:xfrm>
                    <a:prstGeom prst="rect">
                      <a:avLst/>
                    </a:prstGeom>
                    <a:noFill/>
                    <a:ln w="9525" cap="flat" cmpd="sng">
                      <a:noFill/>
                      <a:prstDash val="solid"/>
                      <a:round/>
                    </a:ln>
                  </pic:spPr>
                </pic:pic>
              </a:graphicData>
            </a:graphic>
          </wp:anchor>
        </w:drawing>
      </w:r>
      <w:r>
        <w:rPr>
          <w:rStyle w:val="42"/>
          <w:rFonts w:hint="eastAsia"/>
        </w:rPr>
        <w:t>——净度，以百分率表示（%），</w:t>
      </w:r>
    </w:p>
    <w:p>
      <w:pPr>
        <w:ind w:firstLine="1100" w:firstLineChars="500"/>
        <w:jc w:val="left"/>
        <w:rPr>
          <w:rStyle w:val="42"/>
        </w:rPr>
      </w:pPr>
      <w:r>
        <w:rPr>
          <w:rStyle w:val="42"/>
        </w:rPr>
        <w:drawing>
          <wp:anchor distT="0" distB="0" distL="114300" distR="114300" simplePos="0" relativeHeight="251663360" behindDoc="0" locked="0" layoutInCell="1" allowOverlap="1">
            <wp:simplePos x="0" y="0"/>
            <wp:positionH relativeFrom="column">
              <wp:posOffset>447040</wp:posOffset>
            </wp:positionH>
            <wp:positionV relativeFrom="paragraph">
              <wp:posOffset>13335</wp:posOffset>
            </wp:positionV>
            <wp:extent cx="218440" cy="179705"/>
            <wp:effectExtent l="0" t="0" r="0" b="0"/>
            <wp:wrapNone/>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13"/>
                    <a:stretch>
                      <a:fillRect/>
                    </a:stretch>
                  </pic:blipFill>
                  <pic:spPr>
                    <a:xfrm>
                      <a:off x="0" y="0"/>
                      <a:ext cx="218440" cy="179705"/>
                    </a:xfrm>
                    <a:prstGeom prst="rect">
                      <a:avLst/>
                    </a:prstGeom>
                    <a:noFill/>
                    <a:ln w="9525" cap="flat" cmpd="sng">
                      <a:noFill/>
                      <a:prstDash val="solid"/>
                      <a:round/>
                    </a:ln>
                  </pic:spPr>
                </pic:pic>
              </a:graphicData>
            </a:graphic>
          </wp:anchor>
        </w:drawing>
      </w:r>
      <w:r>
        <w:rPr>
          <w:rStyle w:val="42"/>
          <w:rFonts w:hint="eastAsia"/>
        </w:rPr>
        <w:t>——样品总质量，单位为克（g），</w:t>
      </w:r>
    </w:p>
    <w:p>
      <w:pPr>
        <w:ind w:firstLine="1100" w:firstLineChars="500"/>
        <w:jc w:val="left"/>
        <w:rPr>
          <w:rStyle w:val="42"/>
        </w:rPr>
      </w:pPr>
      <w:r>
        <w:rPr>
          <w:rStyle w:val="42"/>
        </w:rPr>
        <w:drawing>
          <wp:anchor distT="0" distB="0" distL="114300" distR="114300" simplePos="0" relativeHeight="251664384" behindDoc="0" locked="0" layoutInCell="1" allowOverlap="1">
            <wp:simplePos x="0" y="0"/>
            <wp:positionH relativeFrom="column">
              <wp:posOffset>437515</wp:posOffset>
            </wp:positionH>
            <wp:positionV relativeFrom="paragraph">
              <wp:posOffset>13335</wp:posOffset>
            </wp:positionV>
            <wp:extent cx="243840" cy="179705"/>
            <wp:effectExtent l="0" t="0" r="0" b="0"/>
            <wp:wrapNone/>
            <wp:docPr id="3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pic:cNvPicPr>
                      <a:picLocks noChangeAspect="1"/>
                    </pic:cNvPicPr>
                  </pic:nvPicPr>
                  <pic:blipFill>
                    <a:blip r:embed="rId14"/>
                    <a:stretch>
                      <a:fillRect/>
                    </a:stretch>
                  </pic:blipFill>
                  <pic:spPr>
                    <a:xfrm>
                      <a:off x="0" y="0"/>
                      <a:ext cx="243840" cy="179705"/>
                    </a:xfrm>
                    <a:prstGeom prst="rect">
                      <a:avLst/>
                    </a:prstGeom>
                    <a:noFill/>
                    <a:ln w="9525" cap="flat" cmpd="sng">
                      <a:noFill/>
                      <a:prstDash val="solid"/>
                      <a:round/>
                    </a:ln>
                  </pic:spPr>
                </pic:pic>
              </a:graphicData>
            </a:graphic>
          </wp:anchor>
        </w:drawing>
      </w:r>
      <w:r>
        <w:rPr>
          <w:rStyle w:val="42"/>
          <w:rFonts w:hint="eastAsia"/>
        </w:rPr>
        <w:t>——筛出物质量，单位为克（g），</w:t>
      </w:r>
    </w:p>
    <w:p>
      <w:pPr>
        <w:ind w:firstLine="1100" w:firstLineChars="500"/>
        <w:jc w:val="left"/>
        <w:rPr>
          <w:rStyle w:val="42"/>
        </w:rPr>
      </w:pPr>
      <w:r>
        <w:rPr>
          <w:rStyle w:val="42"/>
        </w:rPr>
        <w:drawing>
          <wp:anchor distT="0" distB="0" distL="114300" distR="114300" simplePos="0" relativeHeight="251665408" behindDoc="0" locked="0" layoutInCell="1" allowOverlap="1">
            <wp:simplePos x="0" y="0"/>
            <wp:positionH relativeFrom="column">
              <wp:posOffset>427990</wp:posOffset>
            </wp:positionH>
            <wp:positionV relativeFrom="paragraph">
              <wp:posOffset>13335</wp:posOffset>
            </wp:positionV>
            <wp:extent cx="282575" cy="179705"/>
            <wp:effectExtent l="0" t="0" r="0" b="0"/>
            <wp:wrapNone/>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15"/>
                    <a:stretch>
                      <a:fillRect/>
                    </a:stretch>
                  </pic:blipFill>
                  <pic:spPr>
                    <a:xfrm>
                      <a:off x="0" y="0"/>
                      <a:ext cx="282575" cy="179705"/>
                    </a:xfrm>
                    <a:prstGeom prst="rect">
                      <a:avLst/>
                    </a:prstGeom>
                    <a:noFill/>
                    <a:ln w="9525" cap="flat" cmpd="sng">
                      <a:noFill/>
                      <a:prstDash val="solid"/>
                      <a:round/>
                    </a:ln>
                  </pic:spPr>
                </pic:pic>
              </a:graphicData>
            </a:graphic>
          </wp:anchor>
        </w:drawing>
      </w:r>
      <w:r>
        <w:rPr>
          <w:rStyle w:val="42"/>
          <w:rFonts w:hint="eastAsia"/>
        </w:rPr>
        <w:t>——其他未过筛的杂质质量，单位为克（g）。</w:t>
      </w:r>
    </w:p>
    <w:p>
      <w:pPr>
        <w:pStyle w:val="34"/>
        <w:numPr>
          <w:ilvl w:val="2"/>
          <w:numId w:val="3"/>
        </w:numPr>
        <w:spacing w:before="156" w:after="156" w:line="240" w:lineRule="auto"/>
      </w:pPr>
      <w:r>
        <w:rPr>
          <w:rFonts w:hint="eastAsia"/>
        </w:rPr>
        <w:t>缺陷率</w:t>
      </w:r>
    </w:p>
    <w:p>
      <w:pPr>
        <w:ind w:firstLine="440"/>
        <w:jc w:val="left"/>
        <w:rPr>
          <w:rStyle w:val="42"/>
        </w:rPr>
      </w:pPr>
      <w:r>
        <w:rPr>
          <w:rStyle w:val="42"/>
          <w:rFonts w:hint="eastAsia"/>
        </w:rPr>
        <w:t>随机抽取样品</w:t>
      </w:r>
      <w:r>
        <w:rPr>
          <w:rStyle w:val="42"/>
        </w:rPr>
        <w:t>1000</w:t>
      </w:r>
      <w:r>
        <w:rPr>
          <w:rStyle w:val="42"/>
          <w:rFonts w:hint="eastAsia"/>
        </w:rPr>
        <w:t>g，捡出缺陷莲并称重，计算缺陷率，缺陷率按公式（3）计算。</w:t>
      </w:r>
    </w:p>
    <w:p>
      <w:pPr>
        <w:ind w:firstLine="440"/>
        <w:jc w:val="right"/>
        <w:rPr>
          <w:rStyle w:val="42"/>
        </w:rPr>
      </w:pPr>
      <w:r>
        <w:rPr>
          <w:rStyle w:val="42"/>
        </w:rPr>
        <w:object>
          <v:shape id="_x0000_i1027" o:spt="75" type="#_x0000_t75" style="height:30.75pt;width:66pt;" o:ole="t" filled="f" o:preferrelative="t" stroked="f" coordsize="21600,21600">
            <v:path/>
            <v:fill on="f" focussize="0,0"/>
            <v:stroke on="f" joinstyle="miter"/>
            <v:imagedata r:id="rId17" o:title="355517521610936378293"/>
            <o:lock v:ext="edit" aspectratio="t"/>
            <w10:wrap type="none"/>
            <w10:anchorlock/>
          </v:shape>
          <o:OLEObject Type="Embed" ProgID="Equation.3" ShapeID="_x0000_i1027" DrawAspect="Content" ObjectID="_1468075727" r:id="rId16">
            <o:LockedField>false</o:LockedField>
          </o:OLEObject>
        </w:object>
      </w:r>
      <w:r>
        <w:rPr>
          <w:rStyle w:val="42"/>
          <w:rFonts w:hint="eastAsia"/>
        </w:rPr>
        <w:t>··················（3）</w:t>
      </w:r>
    </w:p>
    <w:p>
      <w:pPr>
        <w:ind w:firstLine="440"/>
        <w:jc w:val="left"/>
        <w:rPr>
          <w:rStyle w:val="42"/>
        </w:rPr>
      </w:pPr>
      <w:r>
        <w:rPr>
          <w:rStyle w:val="42"/>
          <w:rFonts w:hint="eastAsia"/>
        </w:rPr>
        <w:t>式中：</w:t>
      </w:r>
    </w:p>
    <w:p>
      <w:pPr>
        <w:ind w:firstLine="1100" w:firstLineChars="500"/>
        <w:jc w:val="left"/>
        <w:rPr>
          <w:rStyle w:val="42"/>
        </w:rPr>
      </w:pPr>
      <w:r>
        <w:rPr>
          <w:rStyle w:val="42"/>
        </w:rPr>
        <w:drawing>
          <wp:anchor distT="0" distB="0" distL="114300" distR="114300" simplePos="0" relativeHeight="251666432" behindDoc="0" locked="0" layoutInCell="1" allowOverlap="1">
            <wp:simplePos x="0" y="0"/>
            <wp:positionH relativeFrom="column">
              <wp:posOffset>437515</wp:posOffset>
            </wp:positionH>
            <wp:positionV relativeFrom="paragraph">
              <wp:posOffset>13335</wp:posOffset>
            </wp:positionV>
            <wp:extent cx="228600" cy="187960"/>
            <wp:effectExtent l="0" t="0" r="0" b="0"/>
            <wp:wrapNone/>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pic:cNvPicPr>
                      <a:picLocks noChangeAspect="1"/>
                    </pic:cNvPicPr>
                  </pic:nvPicPr>
                  <pic:blipFill>
                    <a:blip r:embed="rId18"/>
                    <a:stretch>
                      <a:fillRect/>
                    </a:stretch>
                  </pic:blipFill>
                  <pic:spPr>
                    <a:xfrm>
                      <a:off x="0" y="0"/>
                      <a:ext cx="228600" cy="187960"/>
                    </a:xfrm>
                    <a:prstGeom prst="rect">
                      <a:avLst/>
                    </a:prstGeom>
                    <a:noFill/>
                    <a:ln w="9525" cap="flat" cmpd="sng">
                      <a:noFill/>
                      <a:prstDash val="solid"/>
                      <a:round/>
                    </a:ln>
                  </pic:spPr>
                </pic:pic>
              </a:graphicData>
            </a:graphic>
          </wp:anchor>
        </w:drawing>
      </w:r>
      <w:r>
        <w:rPr>
          <w:rStyle w:val="42"/>
          <w:rFonts w:hint="eastAsia"/>
        </w:rPr>
        <w:t>——缺陷率，以百分率表示（%），</w:t>
      </w:r>
    </w:p>
    <w:p>
      <w:pPr>
        <w:ind w:firstLine="1100" w:firstLineChars="500"/>
        <w:jc w:val="left"/>
        <w:rPr>
          <w:rStyle w:val="42"/>
        </w:rPr>
      </w:pPr>
      <w:r>
        <w:rPr>
          <w:rStyle w:val="42"/>
        </w:rPr>
        <w:drawing>
          <wp:anchor distT="0" distB="0" distL="114300" distR="114300" simplePos="0" relativeHeight="251667456" behindDoc="0" locked="0" layoutInCell="1" allowOverlap="1">
            <wp:simplePos x="0" y="0"/>
            <wp:positionH relativeFrom="column">
              <wp:posOffset>419100</wp:posOffset>
            </wp:positionH>
            <wp:positionV relativeFrom="paragraph">
              <wp:posOffset>22860</wp:posOffset>
            </wp:positionV>
            <wp:extent cx="238125" cy="158750"/>
            <wp:effectExtent l="0" t="0" r="0" b="0"/>
            <wp:wrapNone/>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19"/>
                    <a:stretch>
                      <a:fillRect/>
                    </a:stretch>
                  </pic:blipFill>
                  <pic:spPr>
                    <a:xfrm>
                      <a:off x="0" y="0"/>
                      <a:ext cx="238124" cy="158750"/>
                    </a:xfrm>
                    <a:prstGeom prst="rect">
                      <a:avLst/>
                    </a:prstGeom>
                    <a:noFill/>
                    <a:ln w="9525" cap="flat" cmpd="sng">
                      <a:noFill/>
                      <a:prstDash val="solid"/>
                      <a:round/>
                    </a:ln>
                  </pic:spPr>
                </pic:pic>
              </a:graphicData>
            </a:graphic>
          </wp:anchor>
        </w:drawing>
      </w:r>
      <w:r>
        <w:rPr>
          <w:rStyle w:val="42"/>
          <w:rFonts w:hint="eastAsia"/>
        </w:rPr>
        <w:t>——缺陷莲的质量，单位为克（g），</w:t>
      </w:r>
    </w:p>
    <w:p>
      <w:pPr>
        <w:ind w:firstLine="1100" w:firstLineChars="500"/>
        <w:jc w:val="left"/>
      </w:pPr>
      <w:r>
        <w:rPr>
          <w:rStyle w:val="42"/>
        </w:rPr>
        <w:drawing>
          <wp:anchor distT="0" distB="0" distL="114300" distR="114300" simplePos="0" relativeHeight="251668480" behindDoc="0" locked="0" layoutInCell="1" allowOverlap="1">
            <wp:simplePos x="0" y="0"/>
            <wp:positionH relativeFrom="column">
              <wp:posOffset>427990</wp:posOffset>
            </wp:positionH>
            <wp:positionV relativeFrom="paragraph">
              <wp:posOffset>32385</wp:posOffset>
            </wp:positionV>
            <wp:extent cx="209550" cy="172720"/>
            <wp:effectExtent l="0" t="0" r="0" b="0"/>
            <wp:wrapNone/>
            <wp:docPr id="4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6"/>
                    <pic:cNvPicPr>
                      <a:picLocks noChangeAspect="1"/>
                    </pic:cNvPicPr>
                  </pic:nvPicPr>
                  <pic:blipFill>
                    <a:blip r:embed="rId20"/>
                    <a:stretch>
                      <a:fillRect/>
                    </a:stretch>
                  </pic:blipFill>
                  <pic:spPr>
                    <a:xfrm>
                      <a:off x="0" y="0"/>
                      <a:ext cx="209550" cy="172720"/>
                    </a:xfrm>
                    <a:prstGeom prst="rect">
                      <a:avLst/>
                    </a:prstGeom>
                    <a:noFill/>
                    <a:ln w="9525" cap="flat" cmpd="sng">
                      <a:noFill/>
                      <a:prstDash val="solid"/>
                      <a:round/>
                    </a:ln>
                  </pic:spPr>
                </pic:pic>
              </a:graphicData>
            </a:graphic>
          </wp:anchor>
        </w:drawing>
      </w:r>
      <w:r>
        <w:rPr>
          <w:rStyle w:val="42"/>
          <w:rFonts w:hint="eastAsia"/>
        </w:rPr>
        <w:t>——样品总质量，单位为克（g）。</w:t>
      </w:r>
    </w:p>
    <w:p>
      <w:pPr>
        <w:pStyle w:val="24"/>
        <w:numPr>
          <w:ilvl w:val="1"/>
          <w:numId w:val="3"/>
        </w:numPr>
        <w:spacing w:before="156" w:beforeLines="0" w:after="156" w:afterLines="0"/>
      </w:pPr>
      <w:r>
        <w:t>卫生指标</w:t>
      </w:r>
    </w:p>
    <w:p>
      <w:pPr>
        <w:ind w:firstLine="420"/>
      </w:pPr>
      <w:r>
        <w:rPr>
          <w:rStyle w:val="42"/>
          <w:sz w:val="21"/>
          <w:szCs w:val="21"/>
        </w:rPr>
        <w:t>卫生指标应符合表6的规定。</w:t>
      </w:r>
    </w:p>
    <w:p>
      <w:pPr>
        <w:ind w:firstLine="3080" w:firstLineChars="1400"/>
        <w:rPr>
          <w:b/>
        </w:rPr>
      </w:pPr>
      <w:r>
        <w:rPr>
          <w:rStyle w:val="42"/>
        </w:rPr>
        <w:t>表6莲子卫生指标</w:t>
      </w:r>
    </w:p>
    <w:tbl>
      <w:tblPr>
        <w:tblStyle w:val="8"/>
        <w:tblW w:w="8090" w:type="dxa"/>
        <w:jc w:val="center"/>
        <w:tblLayout w:type="autofit"/>
        <w:tblCellMar>
          <w:top w:w="0" w:type="dxa"/>
          <w:left w:w="291" w:type="dxa"/>
          <w:bottom w:w="0" w:type="dxa"/>
          <w:right w:w="115" w:type="dxa"/>
        </w:tblCellMar>
      </w:tblPr>
      <w:tblGrid>
        <w:gridCol w:w="982"/>
        <w:gridCol w:w="4014"/>
        <w:gridCol w:w="1533"/>
        <w:gridCol w:w="1561"/>
      </w:tblGrid>
      <w:tr>
        <w:tblPrEx>
          <w:tblCellMar>
            <w:top w:w="0" w:type="dxa"/>
            <w:left w:w="291" w:type="dxa"/>
            <w:bottom w:w="0" w:type="dxa"/>
            <w:right w:w="115" w:type="dxa"/>
          </w:tblCellMar>
        </w:tblPrEx>
        <w:trPr>
          <w:trHeight w:val="348" w:hRule="atLeast"/>
          <w:jc w:val="center"/>
        </w:trPr>
        <w:tc>
          <w:tcPr>
            <w:tcW w:w="982"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序号</w:t>
            </w:r>
          </w:p>
        </w:tc>
        <w:tc>
          <w:tcPr>
            <w:tcW w:w="4014"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项目</w:t>
            </w:r>
          </w:p>
        </w:tc>
        <w:tc>
          <w:tcPr>
            <w:tcW w:w="1533"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指标</w:t>
            </w:r>
          </w:p>
        </w:tc>
        <w:tc>
          <w:tcPr>
            <w:tcW w:w="156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检验方法</w:t>
            </w:r>
          </w:p>
        </w:tc>
      </w:tr>
      <w:tr>
        <w:tblPrEx>
          <w:tblCellMar>
            <w:top w:w="0" w:type="dxa"/>
            <w:left w:w="291" w:type="dxa"/>
            <w:bottom w:w="0" w:type="dxa"/>
            <w:right w:w="115" w:type="dxa"/>
          </w:tblCellMar>
        </w:tblPrEx>
        <w:trPr>
          <w:trHeight w:val="259"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1</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砷（以As计）</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0.5</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 5009.11</w:t>
            </w:r>
          </w:p>
        </w:tc>
      </w:tr>
      <w:tr>
        <w:tblPrEx>
          <w:tblCellMar>
            <w:top w:w="0" w:type="dxa"/>
            <w:left w:w="291" w:type="dxa"/>
            <w:bottom w:w="0" w:type="dxa"/>
            <w:right w:w="115" w:type="dxa"/>
          </w:tblCellMar>
        </w:tblPrEx>
        <w:trPr>
          <w:trHeight w:val="257"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3</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铅（以Pb计）</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≤0</w:t>
            </w:r>
            <w:r>
              <w:t>.2</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 5009.12</w:t>
            </w:r>
          </w:p>
        </w:tc>
      </w:tr>
      <w:tr>
        <w:tblPrEx>
          <w:tblCellMar>
            <w:top w:w="0" w:type="dxa"/>
            <w:left w:w="291" w:type="dxa"/>
            <w:bottom w:w="0" w:type="dxa"/>
            <w:right w:w="115" w:type="dxa"/>
          </w:tblCellMar>
        </w:tblPrEx>
        <w:trPr>
          <w:trHeight w:val="267"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4</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镉（以Cd计）</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0.05</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 5009.15</w:t>
            </w:r>
          </w:p>
        </w:tc>
      </w:tr>
      <w:tr>
        <w:tblPrEx>
          <w:tblCellMar>
            <w:top w:w="0" w:type="dxa"/>
            <w:left w:w="291" w:type="dxa"/>
            <w:bottom w:w="0" w:type="dxa"/>
            <w:right w:w="115" w:type="dxa"/>
          </w:tblCellMar>
        </w:tblPrEx>
        <w:trPr>
          <w:trHeight w:val="259"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5</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汞（以Hg计）</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≤0</w:t>
            </w:r>
            <w:r>
              <w:t>.01</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 5009.17</w:t>
            </w:r>
          </w:p>
        </w:tc>
      </w:tr>
      <w:tr>
        <w:tblPrEx>
          <w:tblCellMar>
            <w:top w:w="0" w:type="dxa"/>
            <w:left w:w="291" w:type="dxa"/>
            <w:bottom w:w="0" w:type="dxa"/>
            <w:right w:w="115" w:type="dxa"/>
          </w:tblCellMar>
        </w:tblPrEx>
        <w:trPr>
          <w:trHeight w:val="259"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6</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敌敌畏</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≤0</w:t>
            </w:r>
            <w:r>
              <w:t>.1</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w:t>
            </w:r>
            <w:r>
              <w:rPr>
                <w:rFonts w:hint="eastAsia"/>
              </w:rPr>
              <w:t>/T</w:t>
            </w:r>
            <w:r>
              <w:t xml:space="preserve"> 5009.20</w:t>
            </w:r>
          </w:p>
        </w:tc>
      </w:tr>
      <w:tr>
        <w:tblPrEx>
          <w:tblCellMar>
            <w:top w:w="0" w:type="dxa"/>
            <w:left w:w="291" w:type="dxa"/>
            <w:bottom w:w="0" w:type="dxa"/>
            <w:right w:w="115" w:type="dxa"/>
          </w:tblCellMar>
        </w:tblPrEx>
        <w:trPr>
          <w:trHeight w:val="262"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7</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乐果</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≤0</w:t>
            </w:r>
            <w:r>
              <w:t>.5</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w:t>
            </w:r>
            <w:r>
              <w:rPr>
                <w:rFonts w:hint="eastAsia"/>
              </w:rPr>
              <w:t>/T</w:t>
            </w:r>
            <w:r>
              <w:t xml:space="preserve"> 5009.20</w:t>
            </w:r>
          </w:p>
        </w:tc>
      </w:tr>
      <w:tr>
        <w:tblPrEx>
          <w:tblCellMar>
            <w:top w:w="0" w:type="dxa"/>
            <w:left w:w="291" w:type="dxa"/>
            <w:bottom w:w="0" w:type="dxa"/>
            <w:right w:w="115" w:type="dxa"/>
          </w:tblCellMar>
        </w:tblPrEx>
        <w:trPr>
          <w:trHeight w:val="264"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8</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敌百虫</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≤0</w:t>
            </w:r>
            <w:r>
              <w:t>.1</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w:t>
            </w:r>
            <w:r>
              <w:rPr>
                <w:rFonts w:hint="eastAsia"/>
              </w:rPr>
              <w:t>/T</w:t>
            </w:r>
            <w:r>
              <w:t xml:space="preserve"> 5009.20</w:t>
            </w:r>
          </w:p>
        </w:tc>
      </w:tr>
      <w:tr>
        <w:tblPrEx>
          <w:tblCellMar>
            <w:top w:w="0" w:type="dxa"/>
            <w:left w:w="291" w:type="dxa"/>
            <w:bottom w:w="0" w:type="dxa"/>
            <w:right w:w="115" w:type="dxa"/>
          </w:tblCellMar>
        </w:tblPrEx>
        <w:trPr>
          <w:trHeight w:val="259"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9</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黄曲霉素B1/（mg/kg）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≤0</w:t>
            </w:r>
            <w:r>
              <w:t>.01</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 5009.22</w:t>
            </w:r>
          </w:p>
        </w:tc>
      </w:tr>
      <w:tr>
        <w:tblPrEx>
          <w:tblCellMar>
            <w:top w:w="0" w:type="dxa"/>
            <w:left w:w="291" w:type="dxa"/>
            <w:bottom w:w="0" w:type="dxa"/>
            <w:right w:w="115" w:type="dxa"/>
          </w:tblCellMar>
        </w:tblPrEx>
        <w:trPr>
          <w:trHeight w:val="267"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1</w:t>
            </w:r>
            <w:r>
              <w:t>0</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亚硫酸盐（以SO2计）</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50</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 5009.34</w:t>
            </w:r>
          </w:p>
        </w:tc>
      </w:tr>
      <w:tr>
        <w:tblPrEx>
          <w:tblCellMar>
            <w:top w:w="0" w:type="dxa"/>
            <w:left w:w="291" w:type="dxa"/>
            <w:bottom w:w="0" w:type="dxa"/>
            <w:right w:w="115" w:type="dxa"/>
          </w:tblCellMar>
        </w:tblPrEx>
        <w:trPr>
          <w:trHeight w:val="259"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11</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多菌灵</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0.5</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w:t>
            </w:r>
            <w:r>
              <w:rPr>
                <w:rFonts w:hint="eastAsia"/>
              </w:rPr>
              <w:t>/T</w:t>
            </w:r>
            <w:r>
              <w:t xml:space="preserve"> 5009.188</w:t>
            </w:r>
          </w:p>
        </w:tc>
      </w:tr>
      <w:tr>
        <w:tblPrEx>
          <w:tblCellMar>
            <w:top w:w="0" w:type="dxa"/>
            <w:left w:w="291" w:type="dxa"/>
            <w:bottom w:w="0" w:type="dxa"/>
            <w:right w:w="115" w:type="dxa"/>
          </w:tblCellMar>
        </w:tblPrEx>
        <w:trPr>
          <w:trHeight w:val="259"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1</w:t>
            </w:r>
            <w:r>
              <w:t>2</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氯氰菊酯</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≤0</w:t>
            </w:r>
            <w:r>
              <w:t>.5</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w:t>
            </w:r>
            <w:r>
              <w:rPr>
                <w:rFonts w:hint="eastAsia"/>
              </w:rPr>
              <w:t>/T</w:t>
            </w:r>
            <w:r>
              <w:t xml:space="preserve"> 5009.110</w:t>
            </w:r>
          </w:p>
        </w:tc>
      </w:tr>
      <w:tr>
        <w:tblPrEx>
          <w:tblCellMar>
            <w:top w:w="0" w:type="dxa"/>
            <w:left w:w="291" w:type="dxa"/>
            <w:bottom w:w="0" w:type="dxa"/>
            <w:right w:w="115" w:type="dxa"/>
          </w:tblCellMar>
        </w:tblPrEx>
        <w:trPr>
          <w:trHeight w:val="259"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1</w:t>
            </w:r>
            <w:r>
              <w:t>3</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溴氰菊酯</w:t>
            </w:r>
            <w:r>
              <w:rPr>
                <w:rFonts w:hint="eastAsia"/>
              </w:rPr>
              <w:t>/</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w:t>
            </w:r>
            <w:r>
              <w:t>2</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w:t>
            </w:r>
            <w:r>
              <w:rPr>
                <w:rFonts w:hint="eastAsia"/>
              </w:rPr>
              <w:t>/T</w:t>
            </w:r>
            <w:r>
              <w:t xml:space="preserve"> 5009.110</w:t>
            </w:r>
          </w:p>
        </w:tc>
      </w:tr>
      <w:tr>
        <w:tblPrEx>
          <w:tblCellMar>
            <w:top w:w="0" w:type="dxa"/>
            <w:left w:w="291" w:type="dxa"/>
            <w:bottom w:w="0" w:type="dxa"/>
            <w:right w:w="115" w:type="dxa"/>
          </w:tblCellMar>
        </w:tblPrEx>
        <w:trPr>
          <w:trHeight w:val="259"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1</w:t>
            </w:r>
            <w:r>
              <w:t>4</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六六六/</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≤0</w:t>
            </w:r>
            <w:r>
              <w:t>.05</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GB/T5009.19</w:t>
            </w:r>
          </w:p>
        </w:tc>
      </w:tr>
      <w:tr>
        <w:tblPrEx>
          <w:tblCellMar>
            <w:top w:w="0" w:type="dxa"/>
            <w:left w:w="291" w:type="dxa"/>
            <w:bottom w:w="0" w:type="dxa"/>
            <w:right w:w="115" w:type="dxa"/>
          </w:tblCellMar>
        </w:tblPrEx>
        <w:trPr>
          <w:trHeight w:val="259" w:hRule="atLeast"/>
          <w:jc w:val="center"/>
        </w:trPr>
        <w:tc>
          <w:tcPr>
            <w:tcW w:w="99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1</w:t>
            </w:r>
            <w:r>
              <w:t>5</w:t>
            </w:r>
          </w:p>
        </w:tc>
        <w:tc>
          <w:tcPr>
            <w:tcW w:w="4111"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滴滴涕</w:t>
            </w:r>
            <w:r>
              <w:t>（mg/kg）</w:t>
            </w:r>
          </w:p>
        </w:tc>
        <w:tc>
          <w:tcPr>
            <w:tcW w:w="1559"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rPr>
                <w:rFonts w:hint="eastAsia"/>
              </w:rPr>
              <w:t>≤0</w:t>
            </w:r>
            <w:r>
              <w:t>.05</w:t>
            </w:r>
          </w:p>
        </w:tc>
        <w:tc>
          <w:tcPr>
            <w:tcW w:w="1425" w:type="dxa"/>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GB/T5009.19</w:t>
            </w:r>
          </w:p>
        </w:tc>
      </w:tr>
      <w:tr>
        <w:tblPrEx>
          <w:tblCellMar>
            <w:top w:w="0" w:type="dxa"/>
            <w:left w:w="291" w:type="dxa"/>
            <w:bottom w:w="0" w:type="dxa"/>
            <w:right w:w="115" w:type="dxa"/>
          </w:tblCellMar>
        </w:tblPrEx>
        <w:trPr>
          <w:trHeight w:val="262" w:hRule="atLeast"/>
          <w:jc w:val="center"/>
        </w:trPr>
        <w:tc>
          <w:tcPr>
            <w:tcW w:w="8090" w:type="dxa"/>
            <w:gridSpan w:val="4"/>
            <w:tcBorders>
              <w:top w:val="single" w:color="000000" w:sz="2" w:space="0"/>
              <w:left w:val="single" w:color="000000" w:sz="2" w:space="0"/>
              <w:bottom w:val="single" w:color="000000" w:sz="2" w:space="0"/>
              <w:right w:val="single" w:color="000000" w:sz="2" w:space="0"/>
            </w:tcBorders>
          </w:tcPr>
          <w:p>
            <w:pPr>
              <w:pStyle w:val="20"/>
              <w:spacing w:before="156" w:after="156"/>
              <w:ind w:firstLine="0" w:firstLineChars="0"/>
            </w:pPr>
            <w:r>
              <w:t>注：未列项目及禁用、限用农药，按国家有关规定执行。</w:t>
            </w:r>
          </w:p>
        </w:tc>
      </w:tr>
    </w:tbl>
    <w:p>
      <w:pPr>
        <w:pStyle w:val="24"/>
        <w:numPr>
          <w:ilvl w:val="1"/>
          <w:numId w:val="3"/>
        </w:numPr>
        <w:spacing w:before="156" w:beforeLines="0" w:after="156" w:afterLines="0"/>
      </w:pPr>
      <w:r>
        <w:rPr>
          <w:rFonts w:hint="eastAsia"/>
        </w:rPr>
        <w:t>理化指标</w:t>
      </w:r>
    </w:p>
    <w:p>
      <w:pPr>
        <w:ind w:firstLine="420"/>
        <w:rPr>
          <w:szCs w:val="21"/>
        </w:rPr>
      </w:pPr>
      <w:r>
        <w:rPr>
          <w:rStyle w:val="42"/>
          <w:sz w:val="21"/>
          <w:szCs w:val="21"/>
        </w:rPr>
        <w:t>应符合表7的规定。</w:t>
      </w:r>
    </w:p>
    <w:p>
      <w:pPr>
        <w:ind w:firstLine="2940" w:firstLineChars="1400"/>
        <w:rPr>
          <w:rStyle w:val="42"/>
          <w:sz w:val="21"/>
          <w:szCs w:val="21"/>
        </w:rPr>
      </w:pPr>
      <w:r>
        <w:rPr>
          <w:rStyle w:val="42"/>
          <w:sz w:val="21"/>
          <w:szCs w:val="21"/>
        </w:rPr>
        <w:t>表7  莲子理化指标</w:t>
      </w:r>
    </w:p>
    <w:tbl>
      <w:tblPr>
        <w:tblStyle w:val="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41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43" w:type="dxa"/>
            <w:vAlign w:val="center"/>
          </w:tcPr>
          <w:p>
            <w:pPr>
              <w:pStyle w:val="20"/>
              <w:spacing w:before="156" w:after="156"/>
              <w:ind w:firstLine="0" w:firstLineChars="0"/>
            </w:pPr>
            <w:r>
              <w:rPr>
                <w:rFonts w:hint="eastAsia"/>
              </w:rPr>
              <w:t>项目</w:t>
            </w:r>
          </w:p>
        </w:tc>
        <w:tc>
          <w:tcPr>
            <w:tcW w:w="2410" w:type="dxa"/>
            <w:vAlign w:val="center"/>
          </w:tcPr>
          <w:p>
            <w:pPr>
              <w:pStyle w:val="20"/>
              <w:spacing w:before="156" w:after="156"/>
              <w:ind w:firstLine="0" w:firstLineChars="0"/>
            </w:pPr>
            <w:r>
              <w:rPr>
                <w:rFonts w:hint="eastAsia"/>
              </w:rPr>
              <w:t>指标</w:t>
            </w:r>
          </w:p>
        </w:tc>
        <w:tc>
          <w:tcPr>
            <w:tcW w:w="2977" w:type="dxa"/>
            <w:vAlign w:val="center"/>
          </w:tcPr>
          <w:p>
            <w:pPr>
              <w:pStyle w:val="20"/>
              <w:widowControl w:val="0"/>
              <w:spacing w:before="156" w:after="156"/>
              <w:ind w:firstLine="0" w:firstLineChars="0"/>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pPr>
              <w:pStyle w:val="20"/>
              <w:spacing w:before="156" w:after="156"/>
              <w:ind w:firstLine="0" w:firstLineChars="0"/>
            </w:pPr>
            <w:r>
              <w:rPr>
                <w:rFonts w:hint="eastAsia"/>
              </w:rPr>
              <w:t>水分/（g/100g）      ≤</w:t>
            </w:r>
          </w:p>
        </w:tc>
        <w:tc>
          <w:tcPr>
            <w:tcW w:w="2410" w:type="dxa"/>
            <w:vAlign w:val="center"/>
          </w:tcPr>
          <w:p>
            <w:pPr>
              <w:pStyle w:val="20"/>
              <w:spacing w:before="156" w:after="156"/>
              <w:ind w:firstLine="0" w:firstLineChars="0"/>
            </w:pPr>
            <w:r>
              <w:rPr>
                <w:rFonts w:hint="eastAsia"/>
              </w:rPr>
              <w:t>12</w:t>
            </w:r>
          </w:p>
        </w:tc>
        <w:tc>
          <w:tcPr>
            <w:tcW w:w="2977" w:type="dxa"/>
          </w:tcPr>
          <w:p>
            <w:pPr>
              <w:pStyle w:val="20"/>
              <w:widowControl w:val="0"/>
              <w:spacing w:before="156" w:after="156"/>
              <w:ind w:firstLine="0" w:firstLineChars="0"/>
            </w:pPr>
            <w: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pPr>
              <w:pStyle w:val="20"/>
              <w:spacing w:before="156" w:after="156"/>
              <w:ind w:firstLine="0" w:firstLineChars="0"/>
            </w:pPr>
            <w:r>
              <w:rPr>
                <w:rFonts w:hint="eastAsia"/>
              </w:rPr>
              <w:t>蛋白质/</w:t>
            </w:r>
            <w:r>
              <w:t xml:space="preserve">(g/100g)      </w:t>
            </w:r>
            <w:r>
              <w:rPr>
                <w:rFonts w:hint="eastAsia"/>
              </w:rPr>
              <w:t>≥</w:t>
            </w:r>
          </w:p>
        </w:tc>
        <w:tc>
          <w:tcPr>
            <w:tcW w:w="2410" w:type="dxa"/>
            <w:vAlign w:val="center"/>
          </w:tcPr>
          <w:p>
            <w:pPr>
              <w:pStyle w:val="20"/>
              <w:spacing w:before="156" w:after="156"/>
              <w:ind w:firstLine="0" w:firstLineChars="0"/>
            </w:pPr>
            <w:r>
              <w:rPr>
                <w:rFonts w:hint="eastAsia"/>
              </w:rPr>
              <w:t>1</w:t>
            </w:r>
            <w:r>
              <w:t>8</w:t>
            </w:r>
          </w:p>
        </w:tc>
        <w:tc>
          <w:tcPr>
            <w:tcW w:w="2977" w:type="dxa"/>
          </w:tcPr>
          <w:p>
            <w:pPr>
              <w:pStyle w:val="20"/>
              <w:spacing w:before="156" w:after="156"/>
              <w:ind w:firstLine="0" w:firstLineChars="0"/>
            </w:pPr>
            <w: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pPr>
              <w:pStyle w:val="20"/>
              <w:spacing w:before="156" w:after="156"/>
              <w:ind w:firstLine="0" w:firstLineChars="0"/>
            </w:pPr>
            <w:r>
              <w:rPr>
                <w:rFonts w:hint="eastAsia"/>
              </w:rPr>
              <w:t>淀粉/</w:t>
            </w:r>
            <w:r>
              <w:t>(g/100g)</w:t>
            </w:r>
            <w:r>
              <w:rPr>
                <w:rFonts w:hint="eastAsia"/>
              </w:rPr>
              <w:t>≥</w:t>
            </w:r>
          </w:p>
        </w:tc>
        <w:tc>
          <w:tcPr>
            <w:tcW w:w="2410" w:type="dxa"/>
            <w:vAlign w:val="center"/>
          </w:tcPr>
          <w:p>
            <w:pPr>
              <w:pStyle w:val="20"/>
              <w:spacing w:before="156" w:after="156"/>
              <w:ind w:firstLine="0" w:firstLineChars="0"/>
            </w:pPr>
            <w:r>
              <w:rPr>
                <w:rFonts w:hint="eastAsia"/>
              </w:rPr>
              <w:t>4</w:t>
            </w:r>
            <w:r>
              <w:t>0</w:t>
            </w:r>
          </w:p>
        </w:tc>
        <w:tc>
          <w:tcPr>
            <w:tcW w:w="2977" w:type="dxa"/>
          </w:tcPr>
          <w:p>
            <w:pPr>
              <w:pStyle w:val="20"/>
              <w:spacing w:before="156" w:after="156"/>
              <w:ind w:firstLine="0" w:firstLineChars="0"/>
            </w:pPr>
            <w:r>
              <w:t>GB 5009.9</w:t>
            </w:r>
          </w:p>
        </w:tc>
      </w:tr>
    </w:tbl>
    <w:p>
      <w:pPr>
        <w:pStyle w:val="2"/>
        <w:ind w:firstLine="0" w:firstLineChars="0"/>
        <w:rPr>
          <w:rStyle w:val="18"/>
        </w:rPr>
      </w:pPr>
      <w:bookmarkStart w:id="0" w:name="_Toc16481"/>
    </w:p>
    <w:bookmarkEnd w:id="0"/>
    <w:p>
      <w:pPr>
        <w:pStyle w:val="19"/>
        <w:numPr>
          <w:ilvl w:val="0"/>
          <w:numId w:val="3"/>
        </w:numPr>
        <w:spacing w:before="312" w:beforeLines="0" w:after="312" w:afterLines="0" w:line="240" w:lineRule="auto"/>
      </w:pPr>
      <w:r>
        <w:rPr>
          <w:rFonts w:hint="eastAsia"/>
        </w:rPr>
        <w:t>包装</w:t>
      </w:r>
    </w:p>
    <w:p>
      <w:pPr>
        <w:pStyle w:val="24"/>
        <w:numPr>
          <w:ilvl w:val="1"/>
          <w:numId w:val="3"/>
        </w:numPr>
        <w:spacing w:before="156" w:beforeLines="0" w:after="156" w:afterLines="0"/>
      </w:pPr>
      <w:r>
        <w:rPr>
          <w:rFonts w:hint="eastAsia"/>
        </w:rPr>
        <w:t>包装材料</w:t>
      </w:r>
    </w:p>
    <w:p>
      <w:pPr>
        <w:pStyle w:val="34"/>
        <w:numPr>
          <w:ilvl w:val="2"/>
          <w:numId w:val="3"/>
        </w:numPr>
        <w:spacing w:before="156" w:after="156" w:line="240" w:lineRule="auto"/>
      </w:pPr>
      <w:r>
        <w:rPr>
          <w:rFonts w:hint="eastAsia"/>
        </w:rPr>
        <w:t>内包装材料必须具有牢固、无毒、防潮、遮光等作用；外包装材料具有保护莲子固有形态、抗压的功能，便于装卸、运输。</w:t>
      </w:r>
    </w:p>
    <w:p>
      <w:pPr>
        <w:pStyle w:val="34"/>
        <w:numPr>
          <w:ilvl w:val="2"/>
          <w:numId w:val="3"/>
        </w:numPr>
        <w:spacing w:before="156" w:after="156" w:line="240" w:lineRule="auto"/>
      </w:pPr>
      <w:r>
        <w:rPr>
          <w:rFonts w:hint="eastAsia"/>
        </w:rPr>
        <w:t>直接接触莲子的包装材料必须是食品级的。不得使用聚氯乙烯、混有氯氟碳化合物的膨化聚苯乙烯等有毒物质作包装材料，不使用油墨印刷的纸张，不使用盛装过其他物品的食品袋包装莲子。重复使用的布袋使用前应清洗干净。不得使用含有荧光染料的材料。</w:t>
      </w:r>
    </w:p>
    <w:p>
      <w:pPr>
        <w:pStyle w:val="34"/>
        <w:numPr>
          <w:ilvl w:val="2"/>
          <w:numId w:val="3"/>
        </w:numPr>
        <w:spacing w:before="156" w:after="156" w:line="240" w:lineRule="auto"/>
      </w:pPr>
      <w:r>
        <w:rPr>
          <w:rFonts w:hint="eastAsia"/>
        </w:rPr>
        <w:t>内包装上的印刷油墨或标签标识使用的黏着剂、印油等必须无毒。</w:t>
      </w:r>
    </w:p>
    <w:p>
      <w:pPr>
        <w:pStyle w:val="34"/>
        <w:numPr>
          <w:ilvl w:val="2"/>
          <w:numId w:val="3"/>
        </w:numPr>
        <w:spacing w:before="156" w:after="156" w:line="240" w:lineRule="auto"/>
      </w:pPr>
      <w:r>
        <w:rPr>
          <w:rStyle w:val="44"/>
          <w:rFonts w:hint="eastAsia"/>
        </w:rPr>
        <w:t>莲子包装材料用纸应符合</w:t>
      </w:r>
      <w:r>
        <w:rPr>
          <w:rStyle w:val="44"/>
        </w:rPr>
        <w:t>GB 4806.8</w:t>
      </w:r>
      <w:r>
        <w:rPr>
          <w:rStyle w:val="44"/>
          <w:rFonts w:hint="eastAsia"/>
        </w:rPr>
        <w:t>的规定，高分子材料应符合</w:t>
      </w:r>
      <w:r>
        <w:rPr>
          <w:rStyle w:val="44"/>
        </w:rPr>
        <w:t>GB/T 4456</w:t>
      </w:r>
      <w:r>
        <w:rPr>
          <w:rStyle w:val="44"/>
          <w:rFonts w:hint="eastAsia"/>
        </w:rPr>
        <w:t>、</w:t>
      </w:r>
      <w:r>
        <w:rPr>
          <w:rStyle w:val="44"/>
        </w:rPr>
        <w:t>GB 4806.7</w:t>
      </w:r>
      <w:r>
        <w:rPr>
          <w:rStyle w:val="44"/>
          <w:rFonts w:hint="eastAsia"/>
        </w:rPr>
        <w:t>的规定，复合包装铝箔袋材料应符合GB 9683的规定，塑料编织袋包装材料应符合</w:t>
      </w:r>
      <w:r>
        <w:rPr>
          <w:rStyle w:val="44"/>
        </w:rPr>
        <w:t>GB/T 8946</w:t>
      </w:r>
      <w:r>
        <w:rPr>
          <w:rStyle w:val="44"/>
          <w:rFonts w:hint="eastAsia"/>
        </w:rPr>
        <w:t>的规定</w:t>
      </w:r>
      <w:r>
        <w:rPr>
          <w:rFonts w:hint="eastAsia"/>
        </w:rPr>
        <w:t>。</w:t>
      </w:r>
    </w:p>
    <w:p>
      <w:pPr>
        <w:pStyle w:val="34"/>
        <w:numPr>
          <w:ilvl w:val="2"/>
          <w:numId w:val="3"/>
        </w:numPr>
        <w:spacing w:before="156" w:after="156" w:line="240" w:lineRule="auto"/>
      </w:pPr>
      <w:r>
        <w:rPr>
          <w:rFonts w:hint="eastAsia"/>
        </w:rPr>
        <w:t>预包装莲子包装标签标识应符合GB 7718预包装食品标签通则</w:t>
      </w:r>
      <w:r>
        <w:t>，符合法律、法规的规定，并符合相应食品安全标准的规定；应清晰、醒目、持久，应使消费者购买时易于辨认和识读；直接向消费者提供的预包装食品标签标示应包括食品名称、配料表、净含量和规格、生产者和（或）经销者的名称、地址和联系方式、生产日期和保质期、贮存条件、食品生产许可证编号、产品标准代号及其他需要标示的内容；非零售的</w:t>
      </w:r>
      <w:r>
        <w:rPr>
          <w:rFonts w:hint="eastAsia"/>
        </w:rPr>
        <w:t>莲子</w:t>
      </w:r>
      <w:r>
        <w:t>，应在包装物上或随行文件中注明品种、等级、产地、质量、生产日期和生产厂家。</w:t>
      </w:r>
    </w:p>
    <w:p>
      <w:pPr>
        <w:pStyle w:val="34"/>
        <w:numPr>
          <w:ilvl w:val="2"/>
          <w:numId w:val="3"/>
        </w:numPr>
        <w:spacing w:before="156" w:after="156" w:line="240" w:lineRule="auto"/>
      </w:pPr>
      <w:r>
        <w:rPr>
          <w:rFonts w:hint="eastAsia" w:cs="Arial"/>
          <w:kern w:val="2"/>
          <w:szCs w:val="24"/>
        </w:rPr>
        <w:t>在供应链过程中应为运输、仓储、销售等建立包装单元。</w:t>
      </w:r>
    </w:p>
    <w:p>
      <w:pPr>
        <w:pStyle w:val="34"/>
        <w:numPr>
          <w:ilvl w:val="2"/>
          <w:numId w:val="3"/>
        </w:numPr>
        <w:spacing w:before="156" w:after="156" w:line="240" w:lineRule="auto"/>
      </w:pPr>
      <w:r>
        <w:rPr>
          <w:rFonts w:hint="eastAsia"/>
        </w:rPr>
        <w:t>运输包装应</w:t>
      </w:r>
      <w:r>
        <w:rPr>
          <w:rFonts w:hint="eastAsia" w:cs="Arial"/>
          <w:kern w:val="2"/>
          <w:szCs w:val="24"/>
        </w:rPr>
        <w:t>具备醒目、清晰、整齐的标志，标志应符合GB/T 191的规定，标志的内容应符合GB/T 6388的规定。</w:t>
      </w:r>
    </w:p>
    <w:p>
      <w:pPr>
        <w:pStyle w:val="34"/>
        <w:numPr>
          <w:ilvl w:val="2"/>
          <w:numId w:val="3"/>
        </w:numPr>
        <w:spacing w:before="156" w:after="156" w:line="240" w:lineRule="auto"/>
      </w:pPr>
      <w:r>
        <w:rPr>
          <w:rFonts w:hint="eastAsia" w:cs="Arial"/>
          <w:kern w:val="2"/>
          <w:szCs w:val="24"/>
        </w:rPr>
        <w:t>各包装单元应具备可追溯二维码或条形码。</w:t>
      </w:r>
    </w:p>
    <w:p>
      <w:pPr>
        <w:pStyle w:val="24"/>
        <w:numPr>
          <w:ilvl w:val="1"/>
          <w:numId w:val="3"/>
        </w:numPr>
        <w:spacing w:before="156" w:beforeLines="0" w:after="156" w:afterLines="0"/>
      </w:pPr>
      <w:r>
        <w:rPr>
          <w:rFonts w:hint="eastAsia"/>
        </w:rPr>
        <w:t>包装过程管理</w:t>
      </w:r>
    </w:p>
    <w:p>
      <w:pPr>
        <w:pStyle w:val="34"/>
        <w:numPr>
          <w:ilvl w:val="2"/>
          <w:numId w:val="3"/>
        </w:numPr>
        <w:spacing w:before="156" w:after="156" w:line="240" w:lineRule="auto"/>
      </w:pPr>
      <w:r>
        <w:rPr>
          <w:rFonts w:hint="eastAsia"/>
        </w:rPr>
        <w:t>包装人员应持健康证上岗，保持良好的个人卫生。</w:t>
      </w:r>
    </w:p>
    <w:p>
      <w:pPr>
        <w:pStyle w:val="34"/>
        <w:numPr>
          <w:ilvl w:val="2"/>
          <w:numId w:val="3"/>
        </w:numPr>
        <w:spacing w:before="156" w:after="156" w:line="240" w:lineRule="auto"/>
      </w:pPr>
      <w:r>
        <w:rPr>
          <w:rFonts w:hint="eastAsia"/>
        </w:rPr>
        <w:t>包装过程莲子产品不得接触地面；工作台面应清洁。</w:t>
      </w:r>
    </w:p>
    <w:p>
      <w:pPr>
        <w:pStyle w:val="34"/>
        <w:numPr>
          <w:ilvl w:val="2"/>
          <w:numId w:val="3"/>
        </w:numPr>
        <w:spacing w:before="156" w:after="156" w:line="240" w:lineRule="auto"/>
      </w:pPr>
      <w:r>
        <w:rPr>
          <w:rFonts w:hint="eastAsia"/>
        </w:rPr>
        <w:t>内包装间应相对独立，包装前应对包装场所进行清洁，宜用紫外线消毒30min以上，防止包装过程中污染。</w:t>
      </w:r>
    </w:p>
    <w:p>
      <w:pPr>
        <w:pStyle w:val="19"/>
        <w:numPr>
          <w:ilvl w:val="0"/>
          <w:numId w:val="3"/>
        </w:numPr>
        <w:spacing w:before="312" w:beforeLines="0" w:after="312" w:afterLines="0" w:line="240" w:lineRule="auto"/>
      </w:pPr>
      <w:r>
        <w:rPr>
          <w:rFonts w:hint="eastAsia"/>
        </w:rPr>
        <w:t>运输</w:t>
      </w:r>
    </w:p>
    <w:p>
      <w:pPr>
        <w:pStyle w:val="24"/>
        <w:numPr>
          <w:ilvl w:val="1"/>
          <w:numId w:val="3"/>
        </w:numPr>
        <w:spacing w:before="156" w:beforeLines="0" w:after="156" w:afterLines="0"/>
      </w:pPr>
      <w:r>
        <w:rPr>
          <w:rFonts w:hint="eastAsia"/>
        </w:rPr>
        <w:t>运输工具</w:t>
      </w:r>
    </w:p>
    <w:p>
      <w:pPr>
        <w:pStyle w:val="34"/>
        <w:numPr>
          <w:ilvl w:val="2"/>
          <w:numId w:val="3"/>
        </w:numPr>
        <w:spacing w:before="156" w:after="156" w:line="240" w:lineRule="auto"/>
      </w:pPr>
      <w:r>
        <w:rPr>
          <w:rFonts w:hint="eastAsia"/>
        </w:rPr>
        <w:t>可选择火车、船舶、汽车、飞机等。</w:t>
      </w:r>
    </w:p>
    <w:p>
      <w:pPr>
        <w:pStyle w:val="34"/>
        <w:numPr>
          <w:ilvl w:val="2"/>
          <w:numId w:val="3"/>
        </w:numPr>
        <w:spacing w:before="156" w:after="156" w:line="240" w:lineRule="auto"/>
      </w:pPr>
      <w:r>
        <w:rPr>
          <w:rFonts w:hint="eastAsia"/>
        </w:rPr>
        <w:t>装运莲子的车箱、船舱、机舱等应保持干燥、清洁、无异味、无污染。</w:t>
      </w:r>
    </w:p>
    <w:p>
      <w:pPr>
        <w:pStyle w:val="34"/>
        <w:numPr>
          <w:ilvl w:val="2"/>
          <w:numId w:val="3"/>
        </w:numPr>
        <w:spacing w:before="156" w:after="156" w:line="240" w:lineRule="auto"/>
      </w:pPr>
      <w:r>
        <w:rPr>
          <w:rFonts w:hint="eastAsia"/>
        </w:rPr>
        <w:t>运输工具在装运前应清理干净，必要时进行清洗、灭菌消毒。</w:t>
      </w:r>
    </w:p>
    <w:p>
      <w:pPr>
        <w:pStyle w:val="34"/>
        <w:numPr>
          <w:ilvl w:val="2"/>
          <w:numId w:val="3"/>
        </w:numPr>
        <w:spacing w:before="156" w:after="156" w:line="240" w:lineRule="auto"/>
      </w:pPr>
      <w:r>
        <w:rPr>
          <w:rFonts w:hint="eastAsia"/>
        </w:rPr>
        <w:t>运输工具的铺垫物、遮盖物等应清洁、无毒、无害。</w:t>
      </w:r>
    </w:p>
    <w:p>
      <w:pPr>
        <w:pStyle w:val="24"/>
        <w:numPr>
          <w:ilvl w:val="1"/>
          <w:numId w:val="3"/>
        </w:numPr>
        <w:spacing w:before="156" w:beforeLines="0" w:after="156" w:afterLines="0"/>
      </w:pPr>
      <w:r>
        <w:rPr>
          <w:rFonts w:hint="eastAsia"/>
        </w:rPr>
        <w:t>运输管理</w:t>
      </w:r>
    </w:p>
    <w:p>
      <w:pPr>
        <w:pStyle w:val="34"/>
        <w:numPr>
          <w:ilvl w:val="2"/>
          <w:numId w:val="3"/>
        </w:numPr>
        <w:spacing w:before="156" w:after="156" w:line="240" w:lineRule="auto"/>
      </w:pPr>
      <w:r>
        <w:rPr>
          <w:rFonts w:hint="eastAsia"/>
        </w:rPr>
        <w:t>不得与化肥、农药及任何有害、有毒、有气味的物品一起混运。</w:t>
      </w:r>
    </w:p>
    <w:p>
      <w:pPr>
        <w:pStyle w:val="34"/>
        <w:numPr>
          <w:ilvl w:val="2"/>
          <w:numId w:val="3"/>
        </w:numPr>
        <w:spacing w:before="156" w:after="156" w:line="240" w:lineRule="auto"/>
      </w:pPr>
      <w:r>
        <w:rPr>
          <w:rFonts w:hint="eastAsia"/>
        </w:rPr>
        <w:t>装运前应检查运输数量，填写运输单据；运输单据字迹清晰，内容正确，项目齐全。</w:t>
      </w:r>
    </w:p>
    <w:p>
      <w:pPr>
        <w:pStyle w:val="34"/>
        <w:numPr>
          <w:ilvl w:val="2"/>
          <w:numId w:val="3"/>
        </w:numPr>
        <w:spacing w:before="156" w:after="156" w:line="240" w:lineRule="auto"/>
      </w:pPr>
      <w:r>
        <w:rPr>
          <w:rFonts w:hint="eastAsia"/>
        </w:rPr>
        <w:t>储运图示标志必须符合GB/T 191规定。收发货标志应符合</w:t>
      </w:r>
      <w:r>
        <w:t>GB/T 6388</w:t>
      </w:r>
      <w:r>
        <w:rPr>
          <w:rFonts w:hint="eastAsia"/>
        </w:rPr>
        <w:t>规定。</w:t>
      </w:r>
    </w:p>
    <w:p>
      <w:pPr>
        <w:pStyle w:val="34"/>
        <w:numPr>
          <w:ilvl w:val="2"/>
          <w:numId w:val="3"/>
        </w:numPr>
        <w:spacing w:before="156" w:after="156" w:line="240" w:lineRule="auto"/>
      </w:pPr>
      <w:r>
        <w:rPr>
          <w:rFonts w:hint="eastAsia"/>
        </w:rPr>
        <w:t>运输过程中应防止雨淋。装卸过程应轻装、轻卸，防止强烈挤压和剧烈震动，不得损坏包装件。</w:t>
      </w:r>
    </w:p>
    <w:p>
      <w:pPr>
        <w:pStyle w:val="34"/>
        <w:numPr>
          <w:ilvl w:val="2"/>
          <w:numId w:val="3"/>
        </w:numPr>
        <w:spacing w:before="156" w:after="156" w:line="240" w:lineRule="auto"/>
      </w:pPr>
      <w:r>
        <w:rPr>
          <w:rFonts w:hint="eastAsia"/>
        </w:rPr>
        <w:t>运输过程应有完整的档案记录，并保留相应的单据。</w:t>
      </w:r>
    </w:p>
    <w:p>
      <w:pPr>
        <w:pStyle w:val="19"/>
        <w:numPr>
          <w:ilvl w:val="0"/>
          <w:numId w:val="3"/>
        </w:numPr>
        <w:spacing w:before="312" w:beforeLines="0" w:after="312" w:afterLines="0" w:line="240" w:lineRule="auto"/>
      </w:pPr>
      <w:r>
        <w:rPr>
          <w:rFonts w:hint="eastAsia"/>
        </w:rPr>
        <w:t>贮藏</w:t>
      </w:r>
    </w:p>
    <w:p>
      <w:pPr>
        <w:pStyle w:val="24"/>
        <w:numPr>
          <w:ilvl w:val="1"/>
          <w:numId w:val="3"/>
        </w:numPr>
        <w:spacing w:before="156" w:beforeLines="0" w:after="156" w:afterLines="0"/>
      </w:pPr>
      <w:r>
        <w:rPr>
          <w:rFonts w:hint="eastAsia"/>
        </w:rPr>
        <w:t>贮藏环境</w:t>
      </w:r>
    </w:p>
    <w:p>
      <w:pPr>
        <w:pStyle w:val="34"/>
        <w:numPr>
          <w:ilvl w:val="2"/>
          <w:numId w:val="3"/>
        </w:numPr>
        <w:spacing w:before="156" w:after="156" w:line="240" w:lineRule="auto"/>
      </w:pPr>
      <w:r>
        <w:rPr>
          <w:rFonts w:hint="eastAsia"/>
        </w:rPr>
        <w:t>周围环境应无异味、清洁、卫生，远离污染源。</w:t>
      </w:r>
    </w:p>
    <w:p>
      <w:pPr>
        <w:pStyle w:val="34"/>
        <w:numPr>
          <w:ilvl w:val="2"/>
          <w:numId w:val="3"/>
        </w:numPr>
        <w:spacing w:before="156" w:after="156" w:line="240" w:lineRule="auto"/>
      </w:pPr>
      <w:r>
        <w:rPr>
          <w:rFonts w:hint="eastAsia"/>
        </w:rPr>
        <w:t>贮藏莲子的仓库应设在干燥处，应避免生活区和加工区的污染和干扰。</w:t>
      </w:r>
    </w:p>
    <w:p>
      <w:pPr>
        <w:pStyle w:val="34"/>
        <w:numPr>
          <w:ilvl w:val="2"/>
          <w:numId w:val="3"/>
        </w:numPr>
        <w:spacing w:before="156" w:after="156" w:line="240" w:lineRule="auto"/>
      </w:pPr>
      <w:r>
        <w:rPr>
          <w:rFonts w:hint="eastAsia"/>
        </w:rPr>
        <w:t>贮藏莲子的场所应便于运输车辆进出，路面应硬化。</w:t>
      </w:r>
    </w:p>
    <w:p>
      <w:pPr>
        <w:pStyle w:val="24"/>
        <w:numPr>
          <w:ilvl w:val="1"/>
          <w:numId w:val="3"/>
        </w:numPr>
        <w:spacing w:before="156" w:beforeLines="0" w:after="156" w:afterLines="0"/>
        <w:rPr>
          <w:rFonts w:ascii="宋体" w:hAnsi="宋体"/>
        </w:rPr>
      </w:pPr>
      <w:r>
        <w:rPr>
          <w:rFonts w:hint="eastAsia"/>
        </w:rPr>
        <w:t>贮藏设施</w:t>
      </w:r>
    </w:p>
    <w:p>
      <w:pPr>
        <w:pStyle w:val="34"/>
        <w:numPr>
          <w:ilvl w:val="2"/>
          <w:numId w:val="3"/>
        </w:numPr>
        <w:spacing w:before="156" w:after="156" w:line="240" w:lineRule="auto"/>
      </w:pPr>
      <w:r>
        <w:rPr>
          <w:rFonts w:hint="eastAsia"/>
        </w:rPr>
        <w:t>贮存莲子应有专用仓库，仓库内应清洁、干燥、无异味。</w:t>
      </w:r>
    </w:p>
    <w:p>
      <w:pPr>
        <w:pStyle w:val="34"/>
        <w:numPr>
          <w:ilvl w:val="2"/>
          <w:numId w:val="3"/>
        </w:numPr>
        <w:spacing w:before="156" w:after="156" w:line="240" w:lineRule="auto"/>
      </w:pPr>
      <w:r>
        <w:rPr>
          <w:rFonts w:hint="eastAsia"/>
        </w:rPr>
        <w:t>有良好的避光、防潮、封闭功能，具有防火、防虫、防蝇、防鼠设施。</w:t>
      </w:r>
    </w:p>
    <w:p>
      <w:pPr>
        <w:pStyle w:val="34"/>
        <w:numPr>
          <w:ilvl w:val="2"/>
          <w:numId w:val="3"/>
        </w:numPr>
        <w:spacing w:before="156" w:after="156" w:line="240" w:lineRule="auto"/>
      </w:pPr>
      <w:r>
        <w:rPr>
          <w:rFonts w:hint="eastAsia"/>
        </w:rPr>
        <w:t>贮藏设施应牢固，使用的材料应无毒、无害。</w:t>
      </w:r>
    </w:p>
    <w:p>
      <w:pPr>
        <w:pStyle w:val="24"/>
        <w:numPr>
          <w:ilvl w:val="1"/>
          <w:numId w:val="3"/>
        </w:numPr>
        <w:spacing w:before="156" w:beforeLines="0" w:after="156" w:afterLines="0"/>
      </w:pPr>
      <w:r>
        <w:rPr>
          <w:rFonts w:hint="eastAsia"/>
        </w:rPr>
        <w:t>贮藏管理</w:t>
      </w:r>
    </w:p>
    <w:p>
      <w:pPr>
        <w:pStyle w:val="34"/>
        <w:numPr>
          <w:ilvl w:val="2"/>
          <w:numId w:val="3"/>
        </w:numPr>
        <w:spacing w:before="156" w:after="156" w:line="240" w:lineRule="auto"/>
      </w:pPr>
      <w:r>
        <w:rPr>
          <w:rFonts w:hint="eastAsia"/>
        </w:rPr>
        <w:t>贮藏场所、设施及周边要定期打扫，必要时进行消毒。贮藏设备及使用工具在使用前均应进行清理（洗），防止污染。</w:t>
      </w:r>
    </w:p>
    <w:p>
      <w:pPr>
        <w:pStyle w:val="34"/>
        <w:numPr>
          <w:ilvl w:val="2"/>
          <w:numId w:val="3"/>
        </w:numPr>
        <w:spacing w:before="156" w:after="156" w:line="240" w:lineRule="auto"/>
      </w:pPr>
      <w:r>
        <w:rPr>
          <w:rFonts w:hint="eastAsia"/>
        </w:rPr>
        <w:t>仓库内要按不同种类、不同等级和不同批次的莲子进行分类存放，并应标识清楚，分别堆码，产品应堆放整齐，应离地、离墙存放。</w:t>
      </w:r>
    </w:p>
    <w:p>
      <w:pPr>
        <w:pStyle w:val="34"/>
        <w:numPr>
          <w:ilvl w:val="2"/>
          <w:numId w:val="3"/>
        </w:numPr>
        <w:spacing w:before="156" w:after="156" w:line="240" w:lineRule="auto"/>
      </w:pPr>
      <w:r>
        <w:rPr>
          <w:rFonts w:hint="eastAsia"/>
        </w:rPr>
        <w:t>莲子入库前，应检查包装是否完好以及内装物有无变质等现象。对破损及受潮的包装必须立即更换。</w:t>
      </w:r>
    </w:p>
    <w:p>
      <w:pPr>
        <w:pStyle w:val="34"/>
        <w:numPr>
          <w:ilvl w:val="2"/>
          <w:numId w:val="3"/>
        </w:numPr>
        <w:spacing w:before="156" w:after="156" w:line="240" w:lineRule="auto"/>
      </w:pPr>
      <w:r>
        <w:rPr>
          <w:rFonts w:hint="eastAsia"/>
        </w:rPr>
        <w:t>定期检查产品质量，对贮藏超期产品，及时进行移库或报废处理。</w:t>
      </w:r>
    </w:p>
    <w:p>
      <w:pPr>
        <w:pStyle w:val="34"/>
        <w:numPr>
          <w:ilvl w:val="2"/>
          <w:numId w:val="3"/>
        </w:numPr>
        <w:spacing w:before="156" w:after="156" w:line="240" w:lineRule="auto"/>
      </w:pPr>
      <w:r>
        <w:rPr>
          <w:rFonts w:hint="eastAsia"/>
        </w:rPr>
        <w:t>应设仓贮管理人员，定期检查莲子产品质量和贮藏设施的卫生情况，定期清洁（理），保持贮藏产品完好。</w:t>
      </w:r>
    </w:p>
    <w:p>
      <w:pPr>
        <w:pStyle w:val="34"/>
        <w:numPr>
          <w:ilvl w:val="2"/>
          <w:numId w:val="3"/>
        </w:numPr>
        <w:spacing w:before="156" w:after="156" w:line="240" w:lineRule="auto"/>
      </w:pPr>
      <w:r>
        <w:rPr>
          <w:rFonts w:hint="eastAsia"/>
        </w:rPr>
        <w:t>建立仓库管理档案，详细记载出入库产品的种类、生产日期或批号、包装类型、数量、运输方式和时间。保留相应的单据。</w:t>
      </w:r>
    </w:p>
    <w:p>
      <w:pPr>
        <w:pStyle w:val="19"/>
        <w:numPr>
          <w:ilvl w:val="0"/>
          <w:numId w:val="3"/>
        </w:numPr>
        <w:spacing w:before="312" w:beforeLines="0" w:after="312" w:afterLines="0" w:line="240" w:lineRule="auto"/>
      </w:pPr>
      <w:r>
        <w:rPr>
          <w:rFonts w:hint="eastAsia"/>
        </w:rPr>
        <w:t>莲子的销售</w:t>
      </w:r>
    </w:p>
    <w:p>
      <w:pPr>
        <w:pStyle w:val="24"/>
        <w:numPr>
          <w:ilvl w:val="1"/>
          <w:numId w:val="3"/>
        </w:numPr>
        <w:spacing w:before="156" w:beforeLines="0" w:after="156" w:afterLines="0"/>
      </w:pPr>
      <w:r>
        <w:rPr>
          <w:rFonts w:hint="eastAsia"/>
        </w:rPr>
        <w:t>销售台账</w:t>
      </w:r>
    </w:p>
    <w:p>
      <w:pPr>
        <w:pStyle w:val="24"/>
        <w:spacing w:before="156" w:beforeLines="0" w:after="156" w:afterLines="0"/>
        <w:ind w:firstLine="440" w:firstLineChars="200"/>
        <w:rPr>
          <w:rStyle w:val="42"/>
        </w:rPr>
      </w:pPr>
      <w:r>
        <w:rPr>
          <w:rStyle w:val="42"/>
        </w:rPr>
        <w:t>从事莲子批发业务的经营者应建立莲子销售台账，如实记录批发莲子的品种、规格、数量、流向等内容，销售台账保存期限不得少于2年。</w:t>
      </w:r>
    </w:p>
    <w:p>
      <w:pPr>
        <w:pStyle w:val="24"/>
        <w:numPr>
          <w:ilvl w:val="1"/>
          <w:numId w:val="3"/>
        </w:numPr>
        <w:spacing w:before="156" w:beforeLines="0" w:after="156" w:afterLines="0"/>
      </w:pPr>
      <w:r>
        <w:rPr>
          <w:rFonts w:hint="eastAsia"/>
        </w:rPr>
        <w:t>自查</w:t>
      </w:r>
    </w:p>
    <w:p>
      <w:pPr>
        <w:pStyle w:val="24"/>
        <w:spacing w:before="156" w:beforeLines="0" w:after="156" w:afterLines="0"/>
        <w:ind w:firstLine="440" w:firstLineChars="200"/>
        <w:rPr>
          <w:rStyle w:val="42"/>
        </w:rPr>
      </w:pPr>
      <w:r>
        <w:rPr>
          <w:rStyle w:val="42"/>
        </w:rPr>
        <w:t>莲子经营者应对销售莲子进行定期检查和清货，对变质、外包装破损、出厂日期等标识不清或不符合食品安全标准的莲子，应及时下架，不得销售。</w:t>
      </w:r>
    </w:p>
    <w:p>
      <w:pPr>
        <w:pStyle w:val="24"/>
        <w:numPr>
          <w:ilvl w:val="1"/>
          <w:numId w:val="3"/>
        </w:numPr>
        <w:spacing w:before="156" w:beforeLines="0" w:after="156" w:afterLines="0"/>
      </w:pPr>
      <w:r>
        <w:rPr>
          <w:rFonts w:hint="eastAsia"/>
        </w:rPr>
        <w:t>保质期</w:t>
      </w:r>
    </w:p>
    <w:p>
      <w:pPr>
        <w:pStyle w:val="20"/>
        <w:spacing w:before="156" w:after="156"/>
      </w:pPr>
      <w:r>
        <w:rPr>
          <w:rFonts w:hint="eastAsia"/>
        </w:rPr>
        <w:t>干制莲子贮存在常温、干燥的环境中，普通包装保质期为12个月，真空包装保质期为18个月；冷库贮藏保质期为24个月。</w:t>
      </w:r>
    </w:p>
    <w:p>
      <w:pPr>
        <w:pStyle w:val="24"/>
        <w:numPr>
          <w:ilvl w:val="1"/>
          <w:numId w:val="3"/>
        </w:numPr>
        <w:spacing w:before="156" w:beforeLines="0" w:after="156" w:afterLines="0"/>
      </w:pPr>
      <w:r>
        <w:rPr>
          <w:rFonts w:hint="eastAsia"/>
        </w:rPr>
        <w:t>临期莲子</w:t>
      </w:r>
    </w:p>
    <w:p>
      <w:pPr>
        <w:pStyle w:val="34"/>
        <w:numPr>
          <w:ilvl w:val="2"/>
          <w:numId w:val="3"/>
        </w:numPr>
        <w:spacing w:before="156" w:after="156" w:line="240" w:lineRule="auto"/>
        <w:rPr>
          <w:rStyle w:val="42"/>
        </w:rPr>
      </w:pPr>
      <w:r>
        <w:rPr>
          <w:rFonts w:hint="eastAsia"/>
        </w:rPr>
        <w:t>临期莲子应建立销售专区，统一放置到临期专区销售，并向消费者做出醒目提示。</w:t>
      </w:r>
    </w:p>
    <w:p>
      <w:pPr>
        <w:pStyle w:val="34"/>
        <w:numPr>
          <w:ilvl w:val="2"/>
          <w:numId w:val="3"/>
        </w:numPr>
        <w:spacing w:before="156" w:after="156" w:line="240" w:lineRule="auto"/>
      </w:pPr>
      <w:r>
        <w:rPr>
          <w:rFonts w:hint="eastAsia"/>
        </w:rPr>
        <w:t>对于采用捆绑形式销售的临期莲子，属于附赠的商品应加贴“赠品”字样标识，捆绑及“赠品” 字样标识不得遮盖产品生产日期。</w:t>
      </w:r>
    </w:p>
    <w:p>
      <w:pPr>
        <w:pStyle w:val="24"/>
        <w:numPr>
          <w:ilvl w:val="1"/>
          <w:numId w:val="3"/>
        </w:numPr>
        <w:spacing w:before="156" w:beforeLines="0" w:after="156" w:afterLines="0"/>
      </w:pPr>
      <w:r>
        <w:rPr>
          <w:rFonts w:hint="eastAsia"/>
        </w:rPr>
        <w:t>存放</w:t>
      </w:r>
    </w:p>
    <w:p>
      <w:pPr>
        <w:pStyle w:val="24"/>
        <w:spacing w:before="156" w:beforeLines="0" w:after="156" w:afterLines="0"/>
        <w:ind w:firstLine="440" w:firstLineChars="200"/>
        <w:rPr>
          <w:rFonts w:eastAsia="宋体"/>
        </w:rPr>
      </w:pPr>
      <w:r>
        <w:rPr>
          <w:rStyle w:val="42"/>
        </w:rPr>
        <w:t>莲子销售环节的存放条件应满足产品标签标识上明示的温度要求</w:t>
      </w:r>
      <w:r>
        <w:rPr>
          <w:rStyle w:val="42"/>
          <w:rFonts w:hint="eastAsia"/>
        </w:rPr>
        <w:t>，必须保持干燥、清洁，不得与有毒有害物品共存放。</w:t>
      </w:r>
    </w:p>
    <w:p>
      <w:pPr>
        <w:pStyle w:val="19"/>
        <w:numPr>
          <w:ilvl w:val="0"/>
          <w:numId w:val="3"/>
        </w:numPr>
        <w:spacing w:before="312" w:beforeLines="0" w:after="312" w:afterLines="0" w:line="240" w:lineRule="auto"/>
      </w:pPr>
      <w:r>
        <w:rPr>
          <w:rFonts w:hint="eastAsia"/>
        </w:rPr>
        <w:t>不合格莲子的处理</w:t>
      </w:r>
    </w:p>
    <w:p>
      <w:pPr>
        <w:pStyle w:val="36"/>
        <w:numPr>
          <w:ilvl w:val="1"/>
          <w:numId w:val="3"/>
        </w:numPr>
        <w:spacing w:before="312" w:after="312"/>
      </w:pPr>
      <w:r>
        <w:rPr>
          <w:rFonts w:hint="eastAsia"/>
        </w:rPr>
        <w:t>莲子经营者如在储存或销售过程中发现超过保质期或变质的莲子，应立即下架，隔离、标识、记录并统一处理。</w:t>
      </w:r>
    </w:p>
    <w:p>
      <w:pPr>
        <w:pStyle w:val="36"/>
        <w:numPr>
          <w:ilvl w:val="1"/>
          <w:numId w:val="3"/>
        </w:numPr>
        <w:spacing w:before="312" w:after="312"/>
      </w:pPr>
      <w:r>
        <w:rPr>
          <w:rFonts w:hint="eastAsia"/>
        </w:rPr>
        <w:t>莲子经营者应建立不合格莲子退市和召回制度，如发现有不符合食品质量安全国家标准等的不合格莲子，应立即停止销售，全部下架封存，并接受退换货。</w:t>
      </w:r>
    </w:p>
    <w:p>
      <w:pPr>
        <w:pStyle w:val="36"/>
        <w:numPr>
          <w:ilvl w:val="1"/>
          <w:numId w:val="3"/>
        </w:numPr>
        <w:spacing w:before="312" w:after="312"/>
      </w:pPr>
      <w:r>
        <w:rPr>
          <w:rFonts w:hint="eastAsia"/>
        </w:rPr>
        <w:t>根据《中华人民共和国食品安全法》第六十三条要求确定“应将莲子召回和处理情况向所在地县级市场监督管理部门报告；需要对召回的莲子进行无害化处理、销毁的，应提前报告时间、地点。县级市场监督管理部门认为必要的，企业应配合其实施现场监督。”</w:t>
      </w:r>
    </w:p>
    <w:p>
      <w:pPr>
        <w:pStyle w:val="36"/>
        <w:numPr>
          <w:ilvl w:val="1"/>
          <w:numId w:val="3"/>
        </w:numPr>
        <w:spacing w:before="312" w:after="312"/>
      </w:pPr>
      <w:r>
        <w:rPr>
          <w:rFonts w:hint="eastAsia"/>
        </w:rPr>
        <w:t>莲子经营者应建立不合格莲子处理记录，对发现的不合格莲子，应如实记录莲子名称、供应者、下架原因、下架时间、处理方式、处理数量、监销人员姓名、通知和报告情况等。</w:t>
      </w:r>
    </w:p>
    <w:p>
      <w:pPr>
        <w:pStyle w:val="36"/>
        <w:numPr>
          <w:ilvl w:val="1"/>
          <w:numId w:val="3"/>
        </w:numPr>
        <w:spacing w:before="312" w:after="312"/>
      </w:pPr>
      <w:r>
        <w:rPr>
          <w:rFonts w:hint="eastAsia"/>
        </w:rPr>
        <w:t>莲子经营者应根据消费者购货凭证，依法对消费者履行不合格莲子的更换、退货等义务。</w:t>
      </w:r>
    </w:p>
    <w:p>
      <w:pPr>
        <w:jc w:val="center"/>
        <w:rPr>
          <w:rFonts w:ascii="宋体" w:hAnsi="宋体"/>
          <w:b/>
          <w:sz w:val="32"/>
          <w:szCs w:val="32"/>
        </w:rPr>
      </w:pPr>
      <w:r>
        <w:rPr>
          <w:rFonts w:ascii="宋体" w:hAnsi="宋体"/>
          <w:b/>
          <w:sz w:val="32"/>
          <w:szCs w:val="32"/>
        </w:rPr>
        <w:t>《</w:t>
      </w:r>
      <w:r>
        <w:rPr>
          <w:rFonts w:hint="eastAsia" w:ascii="宋体" w:hAnsi="宋体"/>
          <w:b/>
          <w:sz w:val="32"/>
          <w:szCs w:val="32"/>
        </w:rPr>
        <w:t>武义绿茶流通规范</w:t>
      </w:r>
      <w:r>
        <w:rPr>
          <w:rFonts w:ascii="宋体" w:hAnsi="宋体"/>
          <w:b/>
          <w:sz w:val="32"/>
          <w:szCs w:val="32"/>
        </w:rPr>
        <w:t>》团体标准编制说明</w:t>
      </w:r>
    </w:p>
    <w:p>
      <w:pPr>
        <w:pStyle w:val="24"/>
        <w:spacing w:beforeLines="0" w:afterLines="0"/>
        <w:rPr>
          <w:rFonts w:hAnsi="黑体" w:cs="黑体"/>
          <w:sz w:val="24"/>
          <w:szCs w:val="24"/>
        </w:rPr>
      </w:pPr>
      <w:r>
        <w:rPr>
          <w:rFonts w:hint="eastAsia" w:hAnsi="黑体" w:cs="黑体"/>
          <w:sz w:val="24"/>
          <w:szCs w:val="24"/>
        </w:rPr>
        <w:t>一、项目来源：</w:t>
      </w:r>
    </w:p>
    <w:p>
      <w:pPr>
        <w:ind w:firstLine="420" w:firstLineChars="200"/>
      </w:pPr>
      <w:r>
        <w:rPr>
          <w:rFonts w:hint="eastAsia"/>
        </w:rPr>
        <w:t>根据武义县农村电子商务供应链体系建设项目（项目编号：HJZX2020-104）的要求，</w:t>
      </w:r>
      <w:r>
        <w:rPr>
          <w:rFonts w:hint="eastAsia" w:ascii="宋体" w:hAnsi="宋体" w:cs="宋体"/>
        </w:rPr>
        <w:t>结合行业标准和国家标准，针对武义当地2-3款特色农产品，会同各职能部门、龙头企业制定符合上行要求的团体标准。由</w:t>
      </w:r>
      <w:r>
        <w:rPr>
          <w:rFonts w:hint="eastAsia"/>
        </w:rPr>
        <w:t>浙江甲骨文超级码科技股份有限公司等单位成立起草工作组负责团体标准《武义绿茶流通规范》草案稿的起草工作，并由武义县电子商务协会归口。</w:t>
      </w:r>
    </w:p>
    <w:p>
      <w:pPr>
        <w:pStyle w:val="24"/>
        <w:spacing w:beforeLines="0" w:afterLines="0"/>
        <w:rPr>
          <w:rFonts w:hAnsi="黑体" w:cs="黑体"/>
          <w:sz w:val="24"/>
          <w:szCs w:val="24"/>
        </w:rPr>
      </w:pPr>
      <w:r>
        <w:rPr>
          <w:rFonts w:hint="eastAsia" w:hAnsi="黑体" w:cs="黑体"/>
          <w:sz w:val="24"/>
          <w:szCs w:val="24"/>
        </w:rPr>
        <w:t>二、标准制定工作的目的与意义：</w:t>
      </w:r>
    </w:p>
    <w:p>
      <w:pPr>
        <w:ind w:firstLine="440" w:firstLineChars="200"/>
      </w:pPr>
      <w:r>
        <w:rPr>
          <w:rStyle w:val="42"/>
        </w:rPr>
        <w:t>本标准适用于武义绿茶的包装、运输和销售。</w:t>
      </w:r>
    </w:p>
    <w:p>
      <w:pPr>
        <w:ind w:firstLine="440" w:firstLineChars="200"/>
        <w:rPr>
          <w:rStyle w:val="42"/>
        </w:rPr>
      </w:pPr>
      <w:r>
        <w:rPr>
          <w:rStyle w:val="42"/>
          <w:rFonts w:hint="eastAsia"/>
        </w:rPr>
        <w:t>武义</w:t>
      </w:r>
      <w:r>
        <w:rPr>
          <w:rStyle w:val="42"/>
        </w:rPr>
        <w:t>绿茶是</w:t>
      </w:r>
      <w:r>
        <w:rPr>
          <w:rStyle w:val="42"/>
          <w:rFonts w:hint="eastAsia"/>
        </w:rPr>
        <w:t>武义县境内</w:t>
      </w:r>
      <w:r>
        <w:rPr>
          <w:rStyle w:val="42"/>
        </w:rPr>
        <w:t>以茶树的芽、叶、嫩茎为原料，经杀青、揉捻、干燥等工序而制成的产品，未经发酵的工艺，</w:t>
      </w:r>
      <w:r>
        <w:rPr>
          <w:rStyle w:val="42"/>
          <w:rFonts w:hint="eastAsia"/>
        </w:rPr>
        <w:t>且</w:t>
      </w:r>
      <w:r>
        <w:rPr>
          <w:rStyle w:val="42"/>
        </w:rPr>
        <w:t>保留了鲜叶的天然物质，含有的茶多酚、儿茶素、叶绿素、咖啡碱、氨基酸、维生素等营养成分，其干茶色泽 和冲泡后的茶汤、叶底以绿色为主调，故名绿茶。</w:t>
      </w:r>
      <w:r>
        <w:rPr>
          <w:rStyle w:val="42"/>
          <w:rFonts w:hint="eastAsia"/>
        </w:rPr>
        <w:t>其中，武义绿茶以武阳春雨最为有名。</w:t>
      </w:r>
      <w:r>
        <w:rPr>
          <w:rStyle w:val="42"/>
        </w:rPr>
        <w:t>根据武阳春雨品质特征和茶树品种特性，武阳春雨适制品种以春雨一号、春雨二号为主，其他品种为辅。春雨一号、春雨二号品种具有花果香显，滋味甘醇的品质特征。 武阳春雨具有独特的品质特征“甜、绵、软”。如针形茶：外形肥壮挺直，绿润鲜活；汤色嫩绿明亮；香气清高馥郁，带花果香；滋味甜醇甘鲜；叶底嫩匀绿亮。</w:t>
      </w:r>
    </w:p>
    <w:p>
      <w:pPr>
        <w:ind w:firstLine="440" w:firstLineChars="200"/>
        <w:rPr>
          <w:rStyle w:val="42"/>
        </w:rPr>
      </w:pPr>
      <w:r>
        <w:rPr>
          <w:rStyle w:val="42"/>
        </w:rPr>
        <w:t>《</w:t>
      </w:r>
      <w:r>
        <w:rPr>
          <w:rStyle w:val="42"/>
          <w:rFonts w:hint="eastAsia"/>
        </w:rPr>
        <w:t>武义绿茶流通规范</w:t>
      </w:r>
      <w:r>
        <w:rPr>
          <w:rStyle w:val="42"/>
        </w:rPr>
        <w:t>》团体标准</w:t>
      </w:r>
      <w:r>
        <w:t>的制定，符合</w:t>
      </w:r>
      <w:r>
        <w:rPr>
          <w:rFonts w:hint="eastAsia"/>
        </w:rPr>
        <w:t>市场</w:t>
      </w:r>
      <w:r>
        <w:t>实际需求，该产品在</w:t>
      </w:r>
      <w:r>
        <w:rPr>
          <w:rFonts w:hint="eastAsia"/>
        </w:rPr>
        <w:t>国内市场</w:t>
      </w:r>
      <w:r>
        <w:t>具有较大的刚性需求。本标准明确了</w:t>
      </w:r>
      <w:r>
        <w:rPr>
          <w:rFonts w:hint="eastAsia"/>
        </w:rPr>
        <w:t>武义绿茶</w:t>
      </w:r>
      <w:r>
        <w:t>应满足的安全指标和质量指标，对提升食品安全风险管控和</w:t>
      </w:r>
      <w:r>
        <w:rPr>
          <w:rFonts w:hint="eastAsia"/>
        </w:rPr>
        <w:t>武阳春雨</w:t>
      </w:r>
      <w:r>
        <w:t>品牌形象树立，具有十分重要的作用。</w:t>
      </w:r>
    </w:p>
    <w:p>
      <w:pPr>
        <w:pStyle w:val="24"/>
        <w:spacing w:beforeLines="0" w:afterLines="0"/>
        <w:rPr>
          <w:rFonts w:hAnsi="黑体" w:cs="黑体"/>
          <w:sz w:val="24"/>
          <w:szCs w:val="24"/>
        </w:rPr>
      </w:pPr>
      <w:r>
        <w:rPr>
          <w:rFonts w:hint="eastAsia" w:hAnsi="黑体" w:cs="黑体"/>
          <w:sz w:val="24"/>
          <w:szCs w:val="24"/>
        </w:rPr>
        <w:t>三、与我国现有法律法规和其他国内外标准的关系：</w:t>
      </w:r>
    </w:p>
    <w:p>
      <w:pPr>
        <w:pStyle w:val="24"/>
        <w:spacing w:beforeLines="0" w:afterLines="0"/>
        <w:rPr>
          <w:rStyle w:val="42"/>
          <w:rFonts w:hAnsi="Calibri"/>
          <w:kern w:val="2"/>
        </w:rPr>
      </w:pPr>
      <w:r>
        <w:rPr>
          <w:rFonts w:hint="eastAsia"/>
        </w:rPr>
        <w:t>1</w:t>
      </w:r>
      <w:r>
        <w:t>.</w:t>
      </w:r>
      <w:r>
        <w:rPr>
          <w:rStyle w:val="42"/>
          <w:rFonts w:hAnsi="Calibri"/>
          <w:kern w:val="2"/>
        </w:rPr>
        <w:t xml:space="preserve">与我国法律法规的关系 </w:t>
      </w:r>
    </w:p>
    <w:p>
      <w:pPr>
        <w:pStyle w:val="24"/>
        <w:spacing w:beforeLines="0" w:afterLines="0"/>
        <w:ind w:firstLine="440" w:firstLineChars="200"/>
        <w:rPr>
          <w:rStyle w:val="42"/>
          <w:rFonts w:hAnsi="Calibri"/>
          <w:kern w:val="2"/>
        </w:rPr>
      </w:pPr>
      <w:r>
        <w:rPr>
          <w:rStyle w:val="42"/>
          <w:rFonts w:hAnsi="Calibri"/>
          <w:kern w:val="2"/>
        </w:rPr>
        <w:t xml:space="preserve">与我国有关法律法规和其他标准相互协调，无矛盾抵触。 </w:t>
      </w:r>
    </w:p>
    <w:p>
      <w:pPr>
        <w:pStyle w:val="24"/>
        <w:spacing w:beforeLines="0" w:afterLines="0"/>
        <w:rPr>
          <w:rStyle w:val="42"/>
          <w:rFonts w:hAnsi="Calibri"/>
          <w:kern w:val="2"/>
        </w:rPr>
      </w:pPr>
      <w:r>
        <w:rPr>
          <w:rStyle w:val="42"/>
          <w:rFonts w:hint="eastAsia" w:hAnsi="Calibri"/>
          <w:kern w:val="2"/>
        </w:rPr>
        <w:t>2</w:t>
      </w:r>
      <w:r>
        <w:rPr>
          <w:rStyle w:val="42"/>
          <w:rFonts w:hAnsi="Calibri"/>
          <w:kern w:val="2"/>
        </w:rPr>
        <w:t xml:space="preserve">.与食品安全国家标准的关系 </w:t>
      </w:r>
    </w:p>
    <w:p>
      <w:pPr>
        <w:pStyle w:val="24"/>
        <w:spacing w:beforeLines="0" w:afterLines="0"/>
        <w:ind w:firstLine="440" w:firstLineChars="200"/>
        <w:rPr>
          <w:rStyle w:val="42"/>
          <w:rFonts w:hAnsi="Calibri"/>
          <w:kern w:val="2"/>
        </w:rPr>
      </w:pPr>
      <w:r>
        <w:rPr>
          <w:rStyle w:val="42"/>
          <w:rFonts w:hAnsi="Calibri"/>
          <w:kern w:val="2"/>
        </w:rPr>
        <w:t xml:space="preserve">食品安全技术指标满足 GB 2760《食品安全国家标准 食品添加剂使用标准》、GB 2762《食品安全国家 标准 食品中污染物限量》、GB 2763《食品安全国家标准 食品中农药最大残留限量》、GB 2763.1《食品 安全国家标准 食品中百草枯等 43 种农药最大残留限量》要求，相关食品安全技术要求高于食品安全国家强制性标准。 </w:t>
      </w:r>
    </w:p>
    <w:p>
      <w:pPr>
        <w:pStyle w:val="24"/>
        <w:spacing w:beforeLines="0" w:afterLines="0"/>
        <w:rPr>
          <w:rStyle w:val="42"/>
          <w:rFonts w:hAnsi="Calibri"/>
          <w:kern w:val="2"/>
        </w:rPr>
      </w:pPr>
      <w:r>
        <w:rPr>
          <w:rStyle w:val="42"/>
          <w:rFonts w:hint="eastAsia" w:hAnsi="Calibri"/>
          <w:kern w:val="2"/>
        </w:rPr>
        <w:t>3</w:t>
      </w:r>
      <w:r>
        <w:rPr>
          <w:rStyle w:val="42"/>
          <w:rFonts w:hAnsi="Calibri"/>
          <w:kern w:val="2"/>
        </w:rPr>
        <w:t>.与我国推荐性国家标准、行业标准和地方标准的关系</w:t>
      </w:r>
    </w:p>
    <w:p>
      <w:pPr>
        <w:pStyle w:val="24"/>
        <w:spacing w:beforeLines="0" w:afterLines="0"/>
        <w:ind w:firstLine="440" w:firstLineChars="200"/>
        <w:rPr>
          <w:rStyle w:val="42"/>
          <w:rFonts w:hAnsi="Calibri"/>
          <w:kern w:val="2"/>
        </w:rPr>
      </w:pPr>
      <w:r>
        <w:rPr>
          <w:rStyle w:val="42"/>
          <w:rFonts w:hAnsi="Calibri"/>
          <w:kern w:val="2"/>
        </w:rPr>
        <w:t xml:space="preserve"> 主要参考和引用推荐性国标标准 GB/T 14456.1-2017《绿茶 第 1 部分：基本要求》</w:t>
      </w:r>
    </w:p>
    <w:p>
      <w:pPr>
        <w:pStyle w:val="24"/>
        <w:spacing w:beforeLines="0" w:afterLines="0"/>
        <w:rPr>
          <w:rFonts w:hAnsi="黑体" w:cs="黑体"/>
          <w:sz w:val="24"/>
          <w:szCs w:val="24"/>
        </w:rPr>
      </w:pPr>
      <w:r>
        <w:rPr>
          <w:rFonts w:hint="eastAsia" w:hAnsi="黑体" w:cs="黑体"/>
          <w:sz w:val="24"/>
          <w:szCs w:val="24"/>
        </w:rPr>
        <w:t>四、项目负责单位及标准制定主要工作过程：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本标准由</w:t>
      </w:r>
      <w:r>
        <w:rPr>
          <w:rFonts w:hint="eastAsia" w:ascii="宋体" w:hAnsi="宋体"/>
          <w:szCs w:val="21"/>
        </w:rPr>
        <w:t>浙江甲骨文超级码科技股份有限公司</w:t>
      </w:r>
      <w:r>
        <w:rPr>
          <w:rFonts w:hint="eastAsia" w:asciiTheme="minorEastAsia" w:hAnsiTheme="minorEastAsia" w:eastAsiaTheme="minorEastAsia" w:cstheme="minorEastAsia"/>
          <w:szCs w:val="21"/>
        </w:rPr>
        <w:t>组织专业技术人员成立工作组，安排人员分工，进行项目可行性分析，对项目的必要性和可行性进行充分论证；对武义绿茶流通规范生产企业及作坊进行实地考查，对生产加工过程进行调研；同时对原辅料、产品的感官、理化、食品添加剂、非食用物质等各项指标进行大量检测并进行数据整理及分析，制定适合该类产品的标准。</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1、2020年</w:t>
      </w:r>
      <w:r>
        <w:rPr>
          <w:rFonts w:asciiTheme="minorEastAsia" w:hAnsiTheme="minorEastAsia" w:eastAsiaTheme="minorEastAsia" w:cstheme="minorEastAsia"/>
          <w:szCs w:val="21"/>
        </w:rPr>
        <w:t>10</w:t>
      </w:r>
      <w:r>
        <w:rPr>
          <w:rFonts w:hint="eastAsia" w:asciiTheme="minorEastAsia" w:hAnsiTheme="minorEastAsia" w:eastAsiaTheme="minorEastAsia" w:cstheme="minorEastAsia"/>
          <w:szCs w:val="21"/>
        </w:rPr>
        <w:t>月10日-1</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日，收集相关的国家标准、法律法规等信息。</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月5日-</w:t>
      </w:r>
      <w:r>
        <w:rPr>
          <w:rFonts w:hint="eastAsia" w:asciiTheme="minorEastAsia" w:hAnsiTheme="minorEastAsia" w:eastAsiaTheme="minorEastAsia" w:cstheme="minorEastAsia"/>
          <w:szCs w:val="21"/>
          <w:lang w:val="en-US" w:eastAsia="zh-CN"/>
        </w:rPr>
        <w:t>2021年3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日，收集、攥写和提交团体标准立项申请材料。</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日上午收到武义县电子商务协会予以立项文件并成立起草工作组。</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日下午完成《武义</w:t>
      </w:r>
      <w:r>
        <w:rPr>
          <w:rFonts w:hint="eastAsia" w:asciiTheme="minorEastAsia" w:hAnsiTheme="minorEastAsia" w:eastAsiaTheme="minorEastAsia" w:cstheme="minorEastAsia"/>
          <w:szCs w:val="21"/>
          <w:lang w:val="en-US" w:eastAsia="zh-CN"/>
        </w:rPr>
        <w:t>绿茶</w:t>
      </w:r>
      <w:r>
        <w:rPr>
          <w:rFonts w:hint="eastAsia" w:asciiTheme="minorEastAsia" w:hAnsiTheme="minorEastAsia" w:eastAsiaTheme="minorEastAsia" w:cstheme="minorEastAsia"/>
          <w:szCs w:val="21"/>
        </w:rPr>
        <w:t>流通规范》团体标准草案稿。并在工作组讨论后形成工作组讨论稿。</w:t>
      </w:r>
    </w:p>
    <w:p>
      <w:pPr>
        <w:spacing w:after="131" w:line="256" w:lineRule="auto"/>
        <w:ind w:firstLine="420" w:firstLineChars="200"/>
        <w:rPr>
          <w:rStyle w:val="42"/>
        </w:rPr>
      </w:pPr>
      <w:r>
        <w:rPr>
          <w:rFonts w:hint="eastAsia" w:asciiTheme="minorEastAsia" w:hAnsiTheme="minorEastAsia" w:eastAsiaTheme="minorEastAsia" w:cstheme="minorEastAsia"/>
          <w:szCs w:val="21"/>
        </w:rPr>
        <w:t>5、202</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日在武义县电子商务服务中心召开专家研讨会：1.武义绿茶流通规范定义将“绿茶”修改为“武义绿茶”；</w:t>
      </w:r>
      <w:r>
        <w:rPr>
          <w:rFonts w:asciiTheme="minorEastAsia" w:hAnsiTheme="minorEastAsia" w:eastAsiaTheme="minorEastAsia" w:cstheme="minorEastAsia"/>
          <w:szCs w:val="21"/>
        </w:rPr>
        <w:t xml:space="preserve"> 2.</w:t>
      </w:r>
      <w:r>
        <w:rPr>
          <w:rFonts w:hint="eastAsia" w:asciiTheme="minorEastAsia" w:hAnsiTheme="minorEastAsia" w:eastAsiaTheme="minorEastAsia" w:cstheme="minorEastAsia"/>
          <w:szCs w:val="21"/>
        </w:rPr>
        <w:t xml:space="preserve"> .武义绿茶流通规范定义增加“可追溯性”。3.文本</w:t>
      </w:r>
      <w:r>
        <w:rPr>
          <w:rFonts w:asciiTheme="minorEastAsia" w:hAnsiTheme="minorEastAsia" w:eastAsiaTheme="minorEastAsia" w:cstheme="minorEastAsia"/>
          <w:szCs w:val="21"/>
        </w:rPr>
        <w:t>4.1.2</w:t>
      </w:r>
      <w:r>
        <w:rPr>
          <w:rFonts w:hint="eastAsia" w:asciiTheme="minorEastAsia" w:hAnsiTheme="minorEastAsia" w:eastAsiaTheme="minorEastAsia" w:cstheme="minorEastAsia"/>
          <w:szCs w:val="21"/>
        </w:rPr>
        <w:t>增加“标志的内容应符合GB/T 6388的规定”。4.文本</w:t>
      </w:r>
      <w:r>
        <w:rPr>
          <w:rFonts w:asciiTheme="minorEastAsia" w:hAnsiTheme="minorEastAsia" w:eastAsiaTheme="minorEastAsia" w:cstheme="minorEastAsia"/>
          <w:szCs w:val="21"/>
        </w:rPr>
        <w:t>5.1.1</w:t>
      </w:r>
      <w:r>
        <w:rPr>
          <w:rFonts w:hint="eastAsia" w:asciiTheme="minorEastAsia" w:hAnsiTheme="minorEastAsia" w:eastAsiaTheme="minorEastAsia" w:cstheme="minorEastAsia"/>
          <w:szCs w:val="21"/>
        </w:rPr>
        <w:t>增加“</w:t>
      </w:r>
      <w:r>
        <w:rPr>
          <w:rFonts w:hint="eastAsia"/>
        </w:rPr>
        <w:t>无《生产许可证》生产单位生产的产品</w:t>
      </w:r>
      <w:r>
        <w:rPr>
          <w:rFonts w:hint="eastAsia" w:asciiTheme="minorEastAsia" w:hAnsiTheme="minorEastAsia" w:eastAsiaTheme="minorEastAsia" w:cstheme="minorEastAsia"/>
          <w:szCs w:val="21"/>
        </w:rPr>
        <w:t>”。5.文本</w:t>
      </w:r>
      <w:r>
        <w:rPr>
          <w:rFonts w:asciiTheme="minorEastAsia" w:hAnsiTheme="minorEastAsia" w:eastAsiaTheme="minorEastAsia" w:cstheme="minorEastAsia"/>
          <w:szCs w:val="21"/>
        </w:rPr>
        <w:t>6.4</w:t>
      </w:r>
      <w:r>
        <w:rPr>
          <w:rFonts w:hint="eastAsia" w:asciiTheme="minorEastAsia" w:hAnsiTheme="minorEastAsia" w:eastAsiaTheme="minorEastAsia" w:cstheme="minorEastAsia"/>
          <w:szCs w:val="21"/>
        </w:rPr>
        <w:t>增加“</w:t>
      </w:r>
      <w:r>
        <w:rPr>
          <w:rStyle w:val="42"/>
        </w:rPr>
        <w:t>根据相关记录，查找原因，明确纠正的措施</w:t>
      </w:r>
      <w:r>
        <w:rPr>
          <w:rStyle w:val="42"/>
          <w:rFonts w:hint="eastAsia"/>
        </w:rPr>
        <w:t>”。</w:t>
      </w:r>
    </w:p>
    <w:p>
      <w:pPr>
        <w:pStyle w:val="24"/>
        <w:spacing w:beforeLines="0" w:afterLines="0"/>
        <w:rPr>
          <w:rFonts w:hAnsi="黑体" w:cs="黑体"/>
          <w:sz w:val="24"/>
          <w:szCs w:val="24"/>
        </w:rPr>
      </w:pPr>
      <w:r>
        <w:rPr>
          <w:rFonts w:hint="eastAsia" w:hAnsi="黑体" w:cs="黑体"/>
          <w:sz w:val="24"/>
          <w:szCs w:val="24"/>
        </w:rPr>
        <w:t>五、标准制定原则：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根据《中华人民共和国食品安全法》及其实施条例等有关法律法规，按GB/T 1.1-2020的编写原则进行编写。以加强武义绿茶流通规范卫生安全为原则，深入调查研究，保证规范起草工作的科学性、规范性和可操作性。</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（一）可操作性的原则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范制定过程中按照可操作性的原则，结合武义绿茶流通规范生产企业的实际情况，对标准内容进行科学设定。为武义绿茶流通规范行业、武义绿茶流通规范生产企业、检测单位、市场监督等部门提供科学管理的依据。</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（二）与国内外标准协调一致原则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（三）公开透明的原则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pPr>
        <w:pStyle w:val="24"/>
        <w:spacing w:beforeLines="0" w:afterLines="0"/>
        <w:rPr>
          <w:rFonts w:hAnsi="黑体" w:cs="黑体"/>
          <w:sz w:val="24"/>
          <w:szCs w:val="24"/>
        </w:rPr>
      </w:pPr>
      <w:r>
        <w:rPr>
          <w:rFonts w:hint="eastAsia" w:hAnsi="黑体" w:cs="黑体"/>
          <w:sz w:val="24"/>
          <w:szCs w:val="24"/>
        </w:rPr>
        <w:t>六、标准主要条款说明：</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标准名称：与根据武义县电子商务协会关于印发2020 年度第一批团体标准立项的通知，要求相一致为“武义绿茶流通规范”。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前言部分：在“前言”中确定由武义县电子商务协会归口，便于标准的咨询服务和相关解释。</w:t>
      </w:r>
    </w:p>
    <w:p>
      <w:pPr>
        <w:pStyle w:val="19"/>
        <w:numPr>
          <w:ilvl w:val="0"/>
          <w:numId w:val="4"/>
        </w:numPr>
        <w:spacing w:before="312" w:after="312" w:line="240" w:lineRule="auto"/>
      </w:pPr>
      <w:r>
        <w:rPr>
          <w:rFonts w:hint="eastAsia"/>
        </w:rPr>
        <w:t>范围</w:t>
      </w:r>
    </w:p>
    <w:p>
      <w:pPr>
        <w:ind w:firstLine="440" w:firstLineChars="200"/>
        <w:rPr>
          <w:rStyle w:val="42"/>
        </w:rPr>
      </w:pPr>
      <w:r>
        <w:rPr>
          <w:rStyle w:val="42"/>
        </w:rPr>
        <w:t>本标准规定了武义绿茶的包装、运输、贮存、销售、追溯与召回等要求。</w:t>
      </w:r>
    </w:p>
    <w:p>
      <w:pPr>
        <w:ind w:firstLine="440" w:firstLineChars="200"/>
      </w:pPr>
      <w:r>
        <w:rPr>
          <w:rStyle w:val="42"/>
        </w:rPr>
        <w:t>本标准适用于武义绿茶的包装、运输和销售。</w:t>
      </w:r>
    </w:p>
    <w:p>
      <w:pPr>
        <w:pStyle w:val="19"/>
        <w:numPr>
          <w:ilvl w:val="0"/>
          <w:numId w:val="4"/>
        </w:numPr>
        <w:spacing w:before="312" w:after="312" w:line="240" w:lineRule="auto"/>
      </w:pPr>
      <w:r>
        <w:rPr>
          <w:rFonts w:hint="eastAsia"/>
        </w:rPr>
        <w:t>规范性引用文件</w:t>
      </w:r>
    </w:p>
    <w:p>
      <w:pPr>
        <w:ind w:firstLine="440" w:firstLineChars="200"/>
        <w:rPr>
          <w:rStyle w:val="42"/>
        </w:rPr>
      </w:pPr>
      <w:r>
        <w:rPr>
          <w:rStyle w:val="42"/>
        </w:rPr>
        <w:t>下列文件对于本文件的应用是必不可少的。凡是注日期的引用文件，仅注日期的版本适用于本文件。凡是不注日期的引用文件，其最新版本（包括所有的修改单）适用于本文件。</w:t>
      </w:r>
    </w:p>
    <w:p>
      <w:pPr>
        <w:ind w:left="420" w:leftChars="200"/>
        <w:rPr>
          <w:rStyle w:val="42"/>
        </w:rPr>
      </w:pPr>
      <w:r>
        <w:rPr>
          <w:rStyle w:val="42"/>
        </w:rPr>
        <w:t>GH/T 1070 茶叶包装通则</w:t>
      </w:r>
    </w:p>
    <w:p>
      <w:pPr>
        <w:ind w:left="420" w:leftChars="200"/>
        <w:rPr>
          <w:rStyle w:val="42"/>
        </w:rPr>
      </w:pPr>
      <w:r>
        <w:rPr>
          <w:rStyle w:val="42"/>
        </w:rPr>
        <w:t>GB/T 191 包装储运图示标志</w:t>
      </w:r>
    </w:p>
    <w:p>
      <w:pPr>
        <w:ind w:firstLine="440" w:firstLineChars="200"/>
        <w:rPr>
          <w:rStyle w:val="42"/>
        </w:rPr>
      </w:pPr>
      <w:r>
        <w:rPr>
          <w:rStyle w:val="42"/>
        </w:rPr>
        <w:t>GB/T 6388 运输包装收发货标志</w:t>
      </w:r>
    </w:p>
    <w:p>
      <w:pPr>
        <w:ind w:firstLine="440" w:firstLineChars="200"/>
        <w:rPr>
          <w:rStyle w:val="42"/>
        </w:rPr>
      </w:pPr>
      <w:r>
        <w:rPr>
          <w:rStyle w:val="42"/>
        </w:rPr>
        <w:t>GB 7718 预包装食品标签通则</w:t>
      </w:r>
    </w:p>
    <w:p>
      <w:pPr>
        <w:ind w:firstLine="440" w:firstLineChars="200"/>
        <w:rPr>
          <w:rStyle w:val="42"/>
        </w:rPr>
      </w:pPr>
      <w:r>
        <w:rPr>
          <w:rStyle w:val="42"/>
        </w:rPr>
        <w:t>GB/T 30375 茶叶贮存</w:t>
      </w:r>
    </w:p>
    <w:p>
      <w:pPr>
        <w:ind w:left="420" w:leftChars="200"/>
        <w:rPr>
          <w:rStyle w:val="42"/>
        </w:rPr>
      </w:pPr>
      <w:r>
        <w:rPr>
          <w:rStyle w:val="42"/>
        </w:rPr>
        <w:t>国家质量监督检验检疫总局关于修改《食品标识管理规定》的决定</w:t>
      </w:r>
    </w:p>
    <w:p>
      <w:pPr>
        <w:pStyle w:val="19"/>
        <w:numPr>
          <w:ilvl w:val="0"/>
          <w:numId w:val="4"/>
        </w:numPr>
        <w:spacing w:before="312" w:after="312" w:line="240" w:lineRule="auto"/>
      </w:pPr>
      <w:r>
        <w:rPr>
          <w:rFonts w:hint="eastAsia"/>
        </w:rPr>
        <w:t>术语和定义</w:t>
      </w:r>
    </w:p>
    <w:p>
      <w:pPr>
        <w:ind w:firstLine="440" w:firstLineChars="200"/>
        <w:rPr>
          <w:rStyle w:val="42"/>
        </w:rPr>
      </w:pPr>
      <w:r>
        <w:rPr>
          <w:rStyle w:val="42"/>
        </w:rPr>
        <w:t>下列术语和定义适用于本文件。</w:t>
      </w:r>
    </w:p>
    <w:p>
      <w:pPr>
        <w:ind w:firstLine="420" w:firstLineChars="200"/>
      </w:pPr>
    </w:p>
    <w:p>
      <w:pPr>
        <w:spacing w:after="131" w:line="256" w:lineRule="auto"/>
      </w:pPr>
      <w:r>
        <w:rPr>
          <w:rFonts w:hint="eastAsia" w:ascii="黑体" w:hAnsi="Times New Roman" w:eastAsia="黑体"/>
          <w:kern w:val="0"/>
        </w:rPr>
        <w:t xml:space="preserve">3.1  </w:t>
      </w:r>
      <w:r>
        <w:rPr>
          <w:rFonts w:hint="eastAsia"/>
        </w:rPr>
        <w:t>武义绿茶  Wuyi Greentea</w:t>
      </w:r>
    </w:p>
    <w:p>
      <w:pPr>
        <w:spacing w:after="131" w:line="256" w:lineRule="auto"/>
        <w:ind w:firstLine="420" w:firstLineChars="200"/>
      </w:pPr>
      <w:r>
        <w:rPr>
          <w:rFonts w:hint="eastAsia"/>
        </w:rPr>
        <w:t>本标准的武义绿茶是指在武义县行政区域内，选用适宜的茶树品种进行繁育和栽培，用特有的工艺加工制作而成，具有鲜爽回甘等特有品质特征的绿茶。</w:t>
      </w:r>
    </w:p>
    <w:p>
      <w:pPr>
        <w:spacing w:after="131" w:line="256" w:lineRule="auto"/>
      </w:pPr>
      <w:r>
        <w:rPr>
          <w:rFonts w:hint="eastAsia"/>
        </w:rPr>
        <w:t>3.2  可追溯性  traceability</w:t>
      </w:r>
    </w:p>
    <w:p>
      <w:pPr>
        <w:spacing w:after="156" w:afterLines="50"/>
        <w:ind w:firstLine="420" w:firstLineChars="200"/>
        <w:jc w:val="left"/>
      </w:pPr>
      <w:r>
        <w:rPr>
          <w:rFonts w:hint="eastAsia"/>
        </w:rPr>
        <w:t>通过记录证明来追溯产品的历史、使用和所在位置的能力（即材料和成份的来源、产品的加工历史、产品交货后的销售和安排等）。</w:t>
      </w:r>
    </w:p>
    <w:p>
      <w:pPr>
        <w:pStyle w:val="19"/>
        <w:numPr>
          <w:ilvl w:val="0"/>
          <w:numId w:val="4"/>
        </w:numPr>
        <w:spacing w:before="312" w:after="312" w:line="240" w:lineRule="auto"/>
      </w:pPr>
      <w:r>
        <w:rPr>
          <w:rFonts w:hint="eastAsia"/>
        </w:rPr>
        <w:t>包装、运输和贮存</w:t>
      </w:r>
    </w:p>
    <w:p>
      <w:pPr>
        <w:pStyle w:val="24"/>
        <w:numPr>
          <w:ilvl w:val="1"/>
          <w:numId w:val="4"/>
        </w:numPr>
        <w:spacing w:before="156" w:after="156"/>
      </w:pPr>
      <w:r>
        <w:rPr>
          <w:rFonts w:hint="eastAsia"/>
        </w:rPr>
        <w:t>包装</w:t>
      </w:r>
    </w:p>
    <w:p>
      <w:pPr>
        <w:pStyle w:val="34"/>
        <w:numPr>
          <w:ilvl w:val="2"/>
          <w:numId w:val="4"/>
        </w:numPr>
        <w:spacing w:before="156" w:after="156" w:line="240" w:lineRule="auto"/>
      </w:pPr>
      <w:r>
        <w:rPr>
          <w:rFonts w:hint="eastAsia"/>
        </w:rPr>
        <w:t>武义绿茶的包装基本要求应符合GH/T 1070的要求，在供应链过程中为运输、仓储、销售等建立包装单元。各包装单元应具备可追溯二维码或条形码</w:t>
      </w:r>
    </w:p>
    <w:p>
      <w:pPr>
        <w:pStyle w:val="34"/>
        <w:numPr>
          <w:ilvl w:val="2"/>
          <w:numId w:val="4"/>
        </w:numPr>
        <w:spacing w:before="156" w:after="156" w:line="240" w:lineRule="auto"/>
      </w:pPr>
      <w:r>
        <w:rPr>
          <w:rFonts w:hint="eastAsia"/>
        </w:rPr>
        <w:t>运输包装应具备醒目、清晰、整齐的标志，标志应符合GB/T 191的规定，标志的内容应符合GB/T 6388的规定。</w:t>
      </w:r>
    </w:p>
    <w:p>
      <w:pPr>
        <w:pStyle w:val="34"/>
        <w:numPr>
          <w:ilvl w:val="2"/>
          <w:numId w:val="4"/>
        </w:numPr>
        <w:spacing w:before="156" w:after="156" w:line="240" w:lineRule="auto"/>
      </w:pPr>
      <w:r>
        <w:rPr>
          <w:rFonts w:hint="eastAsia"/>
        </w:rPr>
        <w:t>销售包装单元的标签内容应符合GB 7718和《食品标识管理规定》的规定。</w:t>
      </w:r>
    </w:p>
    <w:p>
      <w:pPr>
        <w:pStyle w:val="24"/>
        <w:numPr>
          <w:ilvl w:val="1"/>
          <w:numId w:val="4"/>
        </w:numPr>
        <w:spacing w:before="156" w:after="156"/>
      </w:pPr>
      <w:r>
        <w:rPr>
          <w:rFonts w:hint="eastAsia"/>
        </w:rPr>
        <w:t>运输</w:t>
      </w:r>
    </w:p>
    <w:p>
      <w:pPr>
        <w:pStyle w:val="34"/>
        <w:numPr>
          <w:ilvl w:val="2"/>
          <w:numId w:val="4"/>
        </w:numPr>
        <w:spacing w:before="156" w:after="156" w:line="240" w:lineRule="auto"/>
      </w:pPr>
      <w:r>
        <w:rPr>
          <w:rFonts w:hint="eastAsia"/>
        </w:rPr>
        <w:t>运输工具可选择火车、船舶、汽车、飞机等，车厢、船舱、机舱等应保持干燥、清洁、无异味、无污染，装运前应清理干净，必要时进行清洗、灭菌消毒。</w:t>
      </w:r>
    </w:p>
    <w:p>
      <w:pPr>
        <w:pStyle w:val="34"/>
        <w:numPr>
          <w:ilvl w:val="2"/>
          <w:numId w:val="4"/>
        </w:numPr>
        <w:spacing w:before="156" w:after="156" w:line="240" w:lineRule="auto"/>
      </w:pPr>
      <w:r>
        <w:rPr>
          <w:rFonts w:hint="eastAsia"/>
        </w:rPr>
        <w:t>运输不得与化肥、农药及任何有害、有毒、有气味的物品一起混运。</w:t>
      </w:r>
    </w:p>
    <w:p>
      <w:pPr>
        <w:pStyle w:val="34"/>
        <w:numPr>
          <w:ilvl w:val="2"/>
          <w:numId w:val="4"/>
        </w:numPr>
        <w:spacing w:before="156" w:after="156" w:line="240" w:lineRule="auto"/>
      </w:pPr>
      <w:r>
        <w:rPr>
          <w:rFonts w:hint="eastAsia"/>
        </w:rPr>
        <w:t>运输过程中应防止雨淋。装卸过程应轻装、轻卸，防止强烈挤压和剧烈震动，不得损坏包装件。</w:t>
      </w:r>
    </w:p>
    <w:p>
      <w:pPr>
        <w:pStyle w:val="24"/>
        <w:numPr>
          <w:ilvl w:val="1"/>
          <w:numId w:val="4"/>
        </w:numPr>
        <w:spacing w:before="156" w:after="156"/>
      </w:pPr>
      <w:r>
        <w:rPr>
          <w:rFonts w:hint="eastAsia"/>
        </w:rPr>
        <w:t>贮存</w:t>
      </w:r>
    </w:p>
    <w:p>
      <w:pPr>
        <w:spacing w:after="156" w:afterLines="50"/>
        <w:ind w:firstLine="440" w:firstLineChars="200"/>
        <w:jc w:val="left"/>
      </w:pPr>
      <w:r>
        <w:rPr>
          <w:rStyle w:val="42"/>
        </w:rPr>
        <w:t>武义绿茶的贮存应符合GB/T 30375的要求。</w:t>
      </w:r>
    </w:p>
    <w:p>
      <w:pPr>
        <w:pStyle w:val="19"/>
        <w:numPr>
          <w:ilvl w:val="0"/>
          <w:numId w:val="4"/>
        </w:numPr>
        <w:spacing w:before="312" w:after="312" w:line="240" w:lineRule="auto"/>
      </w:pPr>
      <w:r>
        <w:rPr>
          <w:rFonts w:hint="eastAsia"/>
        </w:rPr>
        <w:t xml:space="preserve">销售 </w:t>
      </w:r>
    </w:p>
    <w:p>
      <w:pPr>
        <w:pStyle w:val="24"/>
        <w:numPr>
          <w:ilvl w:val="1"/>
          <w:numId w:val="4"/>
        </w:numPr>
        <w:spacing w:before="156" w:after="156"/>
      </w:pPr>
      <w:r>
        <w:rPr>
          <w:rFonts w:hint="eastAsia"/>
        </w:rPr>
        <w:t xml:space="preserve">基本要求 </w:t>
      </w:r>
    </w:p>
    <w:p>
      <w:pPr>
        <w:pStyle w:val="34"/>
        <w:numPr>
          <w:ilvl w:val="2"/>
          <w:numId w:val="4"/>
        </w:numPr>
        <w:spacing w:before="156" w:after="156" w:line="240" w:lineRule="auto"/>
      </w:pPr>
      <w:r>
        <w:rPr>
          <w:rFonts w:hint="eastAsia"/>
        </w:rPr>
        <w:t>严禁销售以下茶叶产品：</w:t>
      </w:r>
    </w:p>
    <w:p>
      <w:pPr>
        <w:pStyle w:val="34"/>
        <w:numPr>
          <w:ilvl w:val="2"/>
          <w:numId w:val="0"/>
        </w:numPr>
        <w:spacing w:before="156" w:after="156"/>
      </w:pPr>
      <w:r>
        <w:rPr>
          <w:rFonts w:hint="eastAsia"/>
        </w:rPr>
        <w:t xml:space="preserve">        a） 无《生产许可证》生产单位生产的产品；</w:t>
      </w:r>
    </w:p>
    <w:p>
      <w:pPr>
        <w:pStyle w:val="34"/>
        <w:numPr>
          <w:ilvl w:val="2"/>
          <w:numId w:val="0"/>
        </w:numPr>
        <w:spacing w:before="156" w:after="156"/>
      </w:pPr>
      <w:r>
        <w:rPr>
          <w:rFonts w:hint="eastAsia"/>
        </w:rPr>
        <w:t xml:space="preserve">        b） 无茶叶产品检验合格证明的产品；</w:t>
      </w:r>
    </w:p>
    <w:p>
      <w:pPr>
        <w:pStyle w:val="34"/>
        <w:numPr>
          <w:ilvl w:val="2"/>
          <w:numId w:val="0"/>
        </w:numPr>
        <w:spacing w:before="156" w:after="156"/>
      </w:pPr>
      <w:r>
        <w:rPr>
          <w:rFonts w:hint="eastAsia"/>
        </w:rPr>
        <w:t xml:space="preserve">        c） 有毒、变质、被污染或其他感官性状异常的产品；</w:t>
      </w:r>
    </w:p>
    <w:p>
      <w:pPr>
        <w:pStyle w:val="34"/>
        <w:numPr>
          <w:ilvl w:val="2"/>
          <w:numId w:val="0"/>
        </w:numPr>
        <w:spacing w:before="156" w:after="156"/>
      </w:pPr>
      <w:r>
        <w:rPr>
          <w:rFonts w:hint="eastAsia"/>
        </w:rPr>
        <w:t xml:space="preserve">        d） 超过保质期限的产品；</w:t>
      </w:r>
    </w:p>
    <w:p>
      <w:pPr>
        <w:pStyle w:val="34"/>
        <w:numPr>
          <w:ilvl w:val="2"/>
          <w:numId w:val="0"/>
        </w:numPr>
        <w:spacing w:before="156" w:after="156"/>
      </w:pPr>
      <w:r>
        <w:rPr>
          <w:rFonts w:hint="eastAsia"/>
        </w:rPr>
        <w:t xml:space="preserve">        e）其他不符合法律法规规定的产品。</w:t>
      </w:r>
    </w:p>
    <w:p>
      <w:pPr>
        <w:pStyle w:val="34"/>
        <w:numPr>
          <w:ilvl w:val="2"/>
          <w:numId w:val="4"/>
        </w:numPr>
        <w:spacing w:before="156" w:after="156" w:line="240" w:lineRule="auto"/>
      </w:pPr>
      <w:r>
        <w:rPr>
          <w:rFonts w:hint="eastAsia"/>
        </w:rPr>
        <w:t>应办理食品流通许可证。</w:t>
      </w:r>
    </w:p>
    <w:p>
      <w:pPr>
        <w:pStyle w:val="24"/>
        <w:numPr>
          <w:ilvl w:val="1"/>
          <w:numId w:val="4"/>
        </w:numPr>
        <w:spacing w:before="156" w:after="156"/>
      </w:pPr>
      <w:r>
        <w:rPr>
          <w:rFonts w:hint="eastAsia"/>
        </w:rPr>
        <w:t>卫生与安全管理</w:t>
      </w:r>
    </w:p>
    <w:p>
      <w:pPr>
        <w:pStyle w:val="34"/>
        <w:numPr>
          <w:ilvl w:val="2"/>
          <w:numId w:val="4"/>
        </w:numPr>
        <w:spacing w:before="156" w:after="156" w:line="240" w:lineRule="auto"/>
      </w:pPr>
      <w:r>
        <w:rPr>
          <w:rFonts w:hint="eastAsia"/>
        </w:rPr>
        <w:t>销售门店应保持室内外地面清洁，柜台洁净，墙壁、天花板无污垢、蜘蛛网和粉尘。</w:t>
      </w:r>
    </w:p>
    <w:p>
      <w:pPr>
        <w:pStyle w:val="34"/>
        <w:numPr>
          <w:ilvl w:val="2"/>
          <w:numId w:val="4"/>
        </w:numPr>
        <w:spacing w:before="156" w:after="156" w:line="240" w:lineRule="auto"/>
      </w:pPr>
      <w:r>
        <w:rPr>
          <w:rFonts w:hint="eastAsia"/>
        </w:rPr>
        <w:t>门店销售人员应持健康证上岗，穿戴洁净的工作服，保持良好的形象。</w:t>
      </w:r>
    </w:p>
    <w:p>
      <w:pPr>
        <w:pStyle w:val="34"/>
        <w:numPr>
          <w:ilvl w:val="2"/>
          <w:numId w:val="4"/>
        </w:numPr>
        <w:spacing w:before="156" w:after="156" w:line="240" w:lineRule="auto"/>
      </w:pPr>
      <w:r>
        <w:rPr>
          <w:rFonts w:hint="eastAsia"/>
        </w:rPr>
        <w:t>销售门店应有防火、防盗、防潮、防热、防霉、防虫、防鼠及方污染等安全措施，保证各种设施、设备安全有效，确保茶叶产品和人员的安全。</w:t>
      </w:r>
    </w:p>
    <w:p>
      <w:pPr>
        <w:pStyle w:val="24"/>
        <w:numPr>
          <w:ilvl w:val="1"/>
          <w:numId w:val="4"/>
        </w:numPr>
        <w:spacing w:before="156" w:after="156"/>
      </w:pPr>
      <w:r>
        <w:rPr>
          <w:rFonts w:hint="eastAsia"/>
        </w:rPr>
        <w:t>售后服务</w:t>
      </w:r>
    </w:p>
    <w:p>
      <w:pPr>
        <w:pStyle w:val="34"/>
        <w:numPr>
          <w:ilvl w:val="2"/>
          <w:numId w:val="4"/>
        </w:numPr>
        <w:spacing w:before="156" w:after="156" w:line="240" w:lineRule="auto"/>
      </w:pPr>
      <w:r>
        <w:rPr>
          <w:rFonts w:hint="eastAsia"/>
        </w:rPr>
        <w:t>应建立售后服务档案，对顾客提出的意见和处理结果予以登记，定期汇总上报企业相关部门。</w:t>
      </w:r>
    </w:p>
    <w:p>
      <w:pPr>
        <w:pStyle w:val="34"/>
        <w:numPr>
          <w:ilvl w:val="2"/>
          <w:numId w:val="4"/>
        </w:numPr>
        <w:spacing w:before="156" w:after="156" w:line="240" w:lineRule="auto"/>
      </w:pPr>
      <w:r>
        <w:rPr>
          <w:rFonts w:hint="eastAsia"/>
        </w:rPr>
        <w:t>定期开展用户访问，积极做好售后服务工作，及时向主管负责人反馈客户质量查询或投诉信息，并落实相关质量改进措施。</w:t>
      </w:r>
    </w:p>
    <w:p>
      <w:pPr>
        <w:pStyle w:val="34"/>
        <w:numPr>
          <w:ilvl w:val="2"/>
          <w:numId w:val="4"/>
        </w:numPr>
        <w:spacing w:before="156" w:after="156" w:line="240" w:lineRule="auto"/>
      </w:pPr>
      <w:r>
        <w:rPr>
          <w:rFonts w:hint="eastAsia"/>
        </w:rPr>
        <w:t>对消费者投诉的质量问题，应在接到信息后第一时间予以处理，重大问题应及时上报企业主管负责人。</w:t>
      </w:r>
    </w:p>
    <w:p>
      <w:pPr>
        <w:pStyle w:val="34"/>
        <w:numPr>
          <w:ilvl w:val="2"/>
          <w:numId w:val="4"/>
        </w:numPr>
        <w:spacing w:before="156" w:after="156" w:line="240" w:lineRule="auto"/>
      </w:pPr>
      <w:r>
        <w:rPr>
          <w:rFonts w:hint="eastAsia"/>
        </w:rPr>
        <w:t>营业场所内应设立顾客意见本、服务公约、服务电话和行业主管部门投诉电话。</w:t>
      </w:r>
    </w:p>
    <w:p>
      <w:pPr>
        <w:pStyle w:val="34"/>
        <w:numPr>
          <w:ilvl w:val="2"/>
          <w:numId w:val="4"/>
        </w:numPr>
        <w:spacing w:before="156" w:after="156" w:line="240" w:lineRule="auto"/>
      </w:pPr>
      <w:r>
        <w:rPr>
          <w:rFonts w:hint="eastAsia"/>
        </w:rPr>
        <w:t>对消费者提出的合理化建议应予以采纳，并保持与消费者的沟通。</w:t>
      </w:r>
    </w:p>
    <w:p>
      <w:pPr>
        <w:pStyle w:val="34"/>
        <w:numPr>
          <w:ilvl w:val="2"/>
          <w:numId w:val="4"/>
        </w:numPr>
        <w:spacing w:before="156" w:after="156" w:line="240" w:lineRule="auto"/>
      </w:pPr>
      <w:r>
        <w:rPr>
          <w:rFonts w:hint="eastAsia"/>
        </w:rPr>
        <w:t>制定便民服务措施，提供义务咨询、送货上门等服务，提高顾客满意度。</w:t>
      </w:r>
    </w:p>
    <w:p>
      <w:pPr>
        <w:pStyle w:val="24"/>
        <w:numPr>
          <w:ilvl w:val="1"/>
          <w:numId w:val="4"/>
        </w:numPr>
        <w:spacing w:before="156" w:after="156"/>
      </w:pPr>
      <w:r>
        <w:rPr>
          <w:rFonts w:hint="eastAsia"/>
        </w:rPr>
        <w:t>人员与职责</w:t>
      </w:r>
    </w:p>
    <w:p>
      <w:pPr>
        <w:spacing w:after="131" w:line="256" w:lineRule="auto"/>
        <w:ind w:firstLine="420"/>
      </w:pPr>
      <w:r>
        <w:rPr>
          <w:rStyle w:val="42"/>
        </w:rPr>
        <w:t>应建立销售人员管理制度，明确职责和操作规范，并保持考核记录。</w:t>
      </w:r>
    </w:p>
    <w:p>
      <w:pPr>
        <w:pStyle w:val="19"/>
        <w:numPr>
          <w:ilvl w:val="0"/>
          <w:numId w:val="4"/>
        </w:numPr>
        <w:spacing w:before="312" w:after="312" w:line="240" w:lineRule="auto"/>
      </w:pPr>
      <w:r>
        <w:rPr>
          <w:rFonts w:hint="eastAsia"/>
        </w:rPr>
        <w:t>追溯与召回</w:t>
      </w:r>
    </w:p>
    <w:p>
      <w:pPr>
        <w:spacing w:after="131" w:line="256" w:lineRule="auto"/>
        <w:rPr>
          <w:rStyle w:val="42"/>
        </w:rPr>
      </w:pPr>
      <w:r>
        <w:rPr>
          <w:rStyle w:val="25"/>
          <w:rFonts w:hint="eastAsia"/>
        </w:rPr>
        <w:t xml:space="preserve">6.1  </w:t>
      </w:r>
      <w:r>
        <w:rPr>
          <w:rStyle w:val="42"/>
        </w:rPr>
        <w:t>产品应具备可追溯性，建立产品追溯制度，确保对产品从原料采购到产品销售的所有环节都可进行有效追溯。</w:t>
      </w:r>
    </w:p>
    <w:p>
      <w:pPr>
        <w:spacing w:after="131" w:line="256" w:lineRule="auto"/>
        <w:rPr>
          <w:rStyle w:val="42"/>
        </w:rPr>
      </w:pPr>
      <w:r>
        <w:rPr>
          <w:rStyle w:val="25"/>
          <w:rFonts w:hint="eastAsia"/>
        </w:rPr>
        <w:t xml:space="preserve">6.2  </w:t>
      </w:r>
      <w:r>
        <w:rPr>
          <w:rStyle w:val="42"/>
        </w:rPr>
        <w:t>应合理划分并记录生产批次，采用产品批号等方式进行标识，便于产品追溯。</w:t>
      </w:r>
    </w:p>
    <w:p>
      <w:pPr>
        <w:spacing w:after="131" w:line="256" w:lineRule="auto"/>
        <w:rPr>
          <w:rStyle w:val="42"/>
        </w:rPr>
      </w:pPr>
      <w:r>
        <w:rPr>
          <w:rStyle w:val="25"/>
          <w:rFonts w:hint="eastAsia"/>
        </w:rPr>
        <w:t xml:space="preserve">6.3  </w:t>
      </w:r>
      <w:r>
        <w:rPr>
          <w:rStyle w:val="42"/>
        </w:rPr>
        <w:t>应根据国家有关规定建立产品召回制度。当发现生产的食品不符合食品安全标准或存在其他不适于食用的情况时，应当立即停止生产及流通，召回已经上市销售的茶叶，通知相关生产经营者和消费者，并记录召回和通知情况。</w:t>
      </w:r>
    </w:p>
    <w:p>
      <w:pPr>
        <w:spacing w:after="131" w:line="256" w:lineRule="auto"/>
        <w:rPr>
          <w:rStyle w:val="42"/>
        </w:rPr>
      </w:pPr>
      <w:r>
        <w:rPr>
          <w:rStyle w:val="25"/>
          <w:rFonts w:hint="eastAsia"/>
        </w:rPr>
        <w:t xml:space="preserve">6.4  </w:t>
      </w:r>
      <w:r>
        <w:rPr>
          <w:rStyle w:val="42"/>
        </w:rPr>
        <w:t>对被召回的茶叶，应严格按规定进行处理。根据相关记录，查找原因，明确纠正的措施。</w:t>
      </w:r>
    </w:p>
    <w:p>
      <w:pPr>
        <w:pStyle w:val="24"/>
        <w:spacing w:beforeLines="0" w:afterLines="0"/>
      </w:pPr>
    </w:p>
    <w:sectPr>
      <w:foot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2478"/>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3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246350E"/>
    <w:multiLevelType w:val="multilevel"/>
    <w:tmpl w:val="5246350E"/>
    <w:lvl w:ilvl="0" w:tentative="0">
      <w:start w:val="1"/>
      <w:numFmt w:val="decimal"/>
      <w:suff w:val="nothing"/>
      <w:lvlText w:val="%1　"/>
      <w:lvlJc w:val="left"/>
      <w:pPr>
        <w:tabs>
          <w:tab w:val="left" w:pos="0"/>
        </w:tabs>
        <w:ind w:left="0" w:firstLine="0"/>
      </w:pPr>
      <w:rPr>
        <w:rFonts w:hint="eastAsia" w:ascii="黑体" w:hAnsi="黑体" w:eastAsia="黑体"/>
        <w:b w:val="0"/>
        <w:i w:val="0"/>
        <w:sz w:val="21"/>
        <w:szCs w:val="21"/>
      </w:rPr>
    </w:lvl>
    <w:lvl w:ilvl="1" w:tentative="0">
      <w:start w:val="1"/>
      <w:numFmt w:val="decimal"/>
      <w:suff w:val="nothing"/>
      <w:lvlText w:val="%1.%2　"/>
      <w:lvlJc w:val="left"/>
      <w:pPr>
        <w:tabs>
          <w:tab w:val="left" w:pos="0"/>
        </w:tabs>
        <w:ind w:left="0" w:firstLine="0"/>
      </w:pPr>
      <w:rPr>
        <w:rFonts w:hint="eastAsia" w:ascii="黑体" w:hAnsi="黑体" w:eastAsia="黑体" w:cs="Times New Roman"/>
        <w:b w:val="0"/>
        <w:bCs w:val="0"/>
        <w:i w:val="0"/>
        <w:iCs w:val="0"/>
        <w:caps w:val="0"/>
        <w:small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3969" w:hanging="1418"/>
      </w:pPr>
      <w:rPr>
        <w:rFonts w:hint="eastAsia"/>
      </w:rPr>
    </w:lvl>
    <w:lvl w:ilvl="8" w:tentative="0">
      <w:start w:val="1"/>
      <w:numFmt w:val="decimal"/>
      <w:lvlText w:val="%1.%2.%3.%4.%5.%6.%7.%8.%9"/>
      <w:lvlJc w:val="left"/>
      <w:pPr>
        <w:tabs>
          <w:tab w:val="left" w:pos="0"/>
        </w:tabs>
        <w:ind w:left="4677" w:hanging="1700"/>
      </w:pPr>
      <w:rPr>
        <w:rFonts w:hint="eastAsia"/>
      </w:rPr>
    </w:lvl>
  </w:abstractNum>
  <w:abstractNum w:abstractNumId="3">
    <w:nsid w:val="6DBF04F4"/>
    <w:multiLevelType w:val="multilevel"/>
    <w:tmpl w:val="6DBF04F4"/>
    <w:lvl w:ilvl="0" w:tentative="0">
      <w:start w:val="1"/>
      <w:numFmt w:val="none"/>
      <w:pStyle w:val="4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0D"/>
    <w:rsid w:val="00004B86"/>
    <w:rsid w:val="000053E9"/>
    <w:rsid w:val="0000683B"/>
    <w:rsid w:val="00007204"/>
    <w:rsid w:val="000105D9"/>
    <w:rsid w:val="00010CC2"/>
    <w:rsid w:val="0001188A"/>
    <w:rsid w:val="00012F24"/>
    <w:rsid w:val="00014310"/>
    <w:rsid w:val="0001511C"/>
    <w:rsid w:val="00017599"/>
    <w:rsid w:val="00023044"/>
    <w:rsid w:val="000309D8"/>
    <w:rsid w:val="00030DE9"/>
    <w:rsid w:val="00030F22"/>
    <w:rsid w:val="0003389F"/>
    <w:rsid w:val="00036509"/>
    <w:rsid w:val="000417B2"/>
    <w:rsid w:val="000423FF"/>
    <w:rsid w:val="0004287D"/>
    <w:rsid w:val="0004386C"/>
    <w:rsid w:val="00054516"/>
    <w:rsid w:val="000553BB"/>
    <w:rsid w:val="0005601D"/>
    <w:rsid w:val="00061212"/>
    <w:rsid w:val="00066342"/>
    <w:rsid w:val="000714A8"/>
    <w:rsid w:val="0007269F"/>
    <w:rsid w:val="00074B87"/>
    <w:rsid w:val="0008478F"/>
    <w:rsid w:val="000847A9"/>
    <w:rsid w:val="00085A6B"/>
    <w:rsid w:val="000861F6"/>
    <w:rsid w:val="00087B08"/>
    <w:rsid w:val="00091C78"/>
    <w:rsid w:val="00093E7B"/>
    <w:rsid w:val="00097778"/>
    <w:rsid w:val="000A294C"/>
    <w:rsid w:val="000A3943"/>
    <w:rsid w:val="000A6981"/>
    <w:rsid w:val="000B1C26"/>
    <w:rsid w:val="000B2EFD"/>
    <w:rsid w:val="000B37D7"/>
    <w:rsid w:val="000B4D37"/>
    <w:rsid w:val="000C1724"/>
    <w:rsid w:val="000C3E65"/>
    <w:rsid w:val="000C74C5"/>
    <w:rsid w:val="000D2D75"/>
    <w:rsid w:val="000D66A9"/>
    <w:rsid w:val="000E3F0C"/>
    <w:rsid w:val="000E68F9"/>
    <w:rsid w:val="000F0FD8"/>
    <w:rsid w:val="000F1046"/>
    <w:rsid w:val="000F668B"/>
    <w:rsid w:val="001000F1"/>
    <w:rsid w:val="001004BA"/>
    <w:rsid w:val="00104328"/>
    <w:rsid w:val="00105A3B"/>
    <w:rsid w:val="00111185"/>
    <w:rsid w:val="00113120"/>
    <w:rsid w:val="00114799"/>
    <w:rsid w:val="00116F99"/>
    <w:rsid w:val="0011714A"/>
    <w:rsid w:val="00120833"/>
    <w:rsid w:val="001213F6"/>
    <w:rsid w:val="00123A36"/>
    <w:rsid w:val="00127BF9"/>
    <w:rsid w:val="001314A5"/>
    <w:rsid w:val="00131695"/>
    <w:rsid w:val="00144A82"/>
    <w:rsid w:val="00153082"/>
    <w:rsid w:val="001552C0"/>
    <w:rsid w:val="001633A7"/>
    <w:rsid w:val="00170B42"/>
    <w:rsid w:val="00170B8C"/>
    <w:rsid w:val="0017398A"/>
    <w:rsid w:val="00177A20"/>
    <w:rsid w:val="00177EBE"/>
    <w:rsid w:val="00182BE4"/>
    <w:rsid w:val="00182F8D"/>
    <w:rsid w:val="00183191"/>
    <w:rsid w:val="00183684"/>
    <w:rsid w:val="00183985"/>
    <w:rsid w:val="0018501A"/>
    <w:rsid w:val="0018631F"/>
    <w:rsid w:val="001872CD"/>
    <w:rsid w:val="00187F2A"/>
    <w:rsid w:val="0019073E"/>
    <w:rsid w:val="00190BFE"/>
    <w:rsid w:val="00191E4D"/>
    <w:rsid w:val="00193C48"/>
    <w:rsid w:val="00194EB5"/>
    <w:rsid w:val="001A02EF"/>
    <w:rsid w:val="001A67D1"/>
    <w:rsid w:val="001A7425"/>
    <w:rsid w:val="001B004B"/>
    <w:rsid w:val="001B14E7"/>
    <w:rsid w:val="001B348D"/>
    <w:rsid w:val="001B396A"/>
    <w:rsid w:val="001C42BD"/>
    <w:rsid w:val="001C4FE5"/>
    <w:rsid w:val="001C5415"/>
    <w:rsid w:val="001C56BB"/>
    <w:rsid w:val="001F096F"/>
    <w:rsid w:val="001F587D"/>
    <w:rsid w:val="00202B2A"/>
    <w:rsid w:val="002069DA"/>
    <w:rsid w:val="002119B5"/>
    <w:rsid w:val="002143A9"/>
    <w:rsid w:val="00215D61"/>
    <w:rsid w:val="002179A7"/>
    <w:rsid w:val="002266C4"/>
    <w:rsid w:val="00230A62"/>
    <w:rsid w:val="00232B82"/>
    <w:rsid w:val="0023683A"/>
    <w:rsid w:val="00237D60"/>
    <w:rsid w:val="0024381D"/>
    <w:rsid w:val="00246398"/>
    <w:rsid w:val="00250231"/>
    <w:rsid w:val="002507A8"/>
    <w:rsid w:val="00250DB1"/>
    <w:rsid w:val="0025165F"/>
    <w:rsid w:val="002571B7"/>
    <w:rsid w:val="00257449"/>
    <w:rsid w:val="00263E89"/>
    <w:rsid w:val="00266304"/>
    <w:rsid w:val="00266635"/>
    <w:rsid w:val="00270B27"/>
    <w:rsid w:val="00272E0B"/>
    <w:rsid w:val="00273303"/>
    <w:rsid w:val="002749F5"/>
    <w:rsid w:val="002765B7"/>
    <w:rsid w:val="00276B28"/>
    <w:rsid w:val="00276C64"/>
    <w:rsid w:val="00281D7D"/>
    <w:rsid w:val="00282B0A"/>
    <w:rsid w:val="00284E6C"/>
    <w:rsid w:val="00285DC4"/>
    <w:rsid w:val="002871B4"/>
    <w:rsid w:val="00291451"/>
    <w:rsid w:val="002920E0"/>
    <w:rsid w:val="002932BE"/>
    <w:rsid w:val="00293668"/>
    <w:rsid w:val="00295EF1"/>
    <w:rsid w:val="002970A8"/>
    <w:rsid w:val="002A03B1"/>
    <w:rsid w:val="002A0DFF"/>
    <w:rsid w:val="002A1989"/>
    <w:rsid w:val="002A19DE"/>
    <w:rsid w:val="002B14A9"/>
    <w:rsid w:val="002B4D39"/>
    <w:rsid w:val="002B733D"/>
    <w:rsid w:val="002C0BAA"/>
    <w:rsid w:val="002C1438"/>
    <w:rsid w:val="002C19C1"/>
    <w:rsid w:val="002C2232"/>
    <w:rsid w:val="002C3B5E"/>
    <w:rsid w:val="002D1C51"/>
    <w:rsid w:val="002D1F8C"/>
    <w:rsid w:val="002E1253"/>
    <w:rsid w:val="002E6A47"/>
    <w:rsid w:val="002E7A64"/>
    <w:rsid w:val="002F054A"/>
    <w:rsid w:val="002F1832"/>
    <w:rsid w:val="002F3234"/>
    <w:rsid w:val="002F67D1"/>
    <w:rsid w:val="00303D1E"/>
    <w:rsid w:val="003062F7"/>
    <w:rsid w:val="00306F2D"/>
    <w:rsid w:val="003110AF"/>
    <w:rsid w:val="003112EA"/>
    <w:rsid w:val="00312720"/>
    <w:rsid w:val="00312969"/>
    <w:rsid w:val="00316F38"/>
    <w:rsid w:val="00321025"/>
    <w:rsid w:val="003215FD"/>
    <w:rsid w:val="00324BF7"/>
    <w:rsid w:val="00326264"/>
    <w:rsid w:val="003279B8"/>
    <w:rsid w:val="00332E79"/>
    <w:rsid w:val="00333B7C"/>
    <w:rsid w:val="00340AEA"/>
    <w:rsid w:val="00341060"/>
    <w:rsid w:val="0034507B"/>
    <w:rsid w:val="00345B2E"/>
    <w:rsid w:val="00350105"/>
    <w:rsid w:val="00353DE7"/>
    <w:rsid w:val="00355B82"/>
    <w:rsid w:val="00360056"/>
    <w:rsid w:val="00361F38"/>
    <w:rsid w:val="003645FB"/>
    <w:rsid w:val="003725DC"/>
    <w:rsid w:val="00375546"/>
    <w:rsid w:val="003762B3"/>
    <w:rsid w:val="00381845"/>
    <w:rsid w:val="00381B0F"/>
    <w:rsid w:val="00382D16"/>
    <w:rsid w:val="0038570E"/>
    <w:rsid w:val="00394476"/>
    <w:rsid w:val="0039648B"/>
    <w:rsid w:val="003979B0"/>
    <w:rsid w:val="00397EA1"/>
    <w:rsid w:val="003A2CF5"/>
    <w:rsid w:val="003A341B"/>
    <w:rsid w:val="003A46D6"/>
    <w:rsid w:val="003B1641"/>
    <w:rsid w:val="003B1A9F"/>
    <w:rsid w:val="003B68C1"/>
    <w:rsid w:val="003B7B1F"/>
    <w:rsid w:val="003C1412"/>
    <w:rsid w:val="003C1EF5"/>
    <w:rsid w:val="003C38DC"/>
    <w:rsid w:val="003C3C9A"/>
    <w:rsid w:val="003C5123"/>
    <w:rsid w:val="003D1055"/>
    <w:rsid w:val="003D20F1"/>
    <w:rsid w:val="003D243F"/>
    <w:rsid w:val="003D3250"/>
    <w:rsid w:val="003D449D"/>
    <w:rsid w:val="003D49F8"/>
    <w:rsid w:val="003D55B2"/>
    <w:rsid w:val="003E2F07"/>
    <w:rsid w:val="003E4DFA"/>
    <w:rsid w:val="003F0594"/>
    <w:rsid w:val="003F0890"/>
    <w:rsid w:val="003F1686"/>
    <w:rsid w:val="003F690E"/>
    <w:rsid w:val="003F72A3"/>
    <w:rsid w:val="004029B4"/>
    <w:rsid w:val="00403BD2"/>
    <w:rsid w:val="0040587C"/>
    <w:rsid w:val="00405CA1"/>
    <w:rsid w:val="00406D1D"/>
    <w:rsid w:val="004079FE"/>
    <w:rsid w:val="00420A46"/>
    <w:rsid w:val="004240EF"/>
    <w:rsid w:val="0043089F"/>
    <w:rsid w:val="00431DE3"/>
    <w:rsid w:val="00436754"/>
    <w:rsid w:val="00440F23"/>
    <w:rsid w:val="0044150D"/>
    <w:rsid w:val="004425AD"/>
    <w:rsid w:val="004477CE"/>
    <w:rsid w:val="00450873"/>
    <w:rsid w:val="00452220"/>
    <w:rsid w:val="00452AC4"/>
    <w:rsid w:val="00452EF9"/>
    <w:rsid w:val="00455A9B"/>
    <w:rsid w:val="00472E2C"/>
    <w:rsid w:val="00474E8C"/>
    <w:rsid w:val="004755FC"/>
    <w:rsid w:val="00477869"/>
    <w:rsid w:val="00481203"/>
    <w:rsid w:val="00481488"/>
    <w:rsid w:val="0048663E"/>
    <w:rsid w:val="00494110"/>
    <w:rsid w:val="00494DA6"/>
    <w:rsid w:val="004972AA"/>
    <w:rsid w:val="004A4E94"/>
    <w:rsid w:val="004A7C6D"/>
    <w:rsid w:val="004B27A6"/>
    <w:rsid w:val="004B6139"/>
    <w:rsid w:val="004C3CC2"/>
    <w:rsid w:val="004C3D62"/>
    <w:rsid w:val="004C6D2E"/>
    <w:rsid w:val="004D0859"/>
    <w:rsid w:val="004D3BB2"/>
    <w:rsid w:val="004E03C3"/>
    <w:rsid w:val="004E0C9A"/>
    <w:rsid w:val="004E59AD"/>
    <w:rsid w:val="004E7090"/>
    <w:rsid w:val="004F2569"/>
    <w:rsid w:val="004F2701"/>
    <w:rsid w:val="004F59BB"/>
    <w:rsid w:val="00500012"/>
    <w:rsid w:val="00501593"/>
    <w:rsid w:val="00503405"/>
    <w:rsid w:val="00510F6C"/>
    <w:rsid w:val="00511DC3"/>
    <w:rsid w:val="00517054"/>
    <w:rsid w:val="00521A3E"/>
    <w:rsid w:val="00527238"/>
    <w:rsid w:val="0052749E"/>
    <w:rsid w:val="005313EF"/>
    <w:rsid w:val="005346D2"/>
    <w:rsid w:val="0054258F"/>
    <w:rsid w:val="00543163"/>
    <w:rsid w:val="00543715"/>
    <w:rsid w:val="00544CE7"/>
    <w:rsid w:val="0054764D"/>
    <w:rsid w:val="00550CCC"/>
    <w:rsid w:val="00553EB4"/>
    <w:rsid w:val="00555032"/>
    <w:rsid w:val="00571D38"/>
    <w:rsid w:val="00581DA9"/>
    <w:rsid w:val="005829A8"/>
    <w:rsid w:val="00585896"/>
    <w:rsid w:val="00586822"/>
    <w:rsid w:val="005876B2"/>
    <w:rsid w:val="00587B70"/>
    <w:rsid w:val="00590BB8"/>
    <w:rsid w:val="005925B0"/>
    <w:rsid w:val="00595002"/>
    <w:rsid w:val="00595A06"/>
    <w:rsid w:val="00595C85"/>
    <w:rsid w:val="0059623D"/>
    <w:rsid w:val="00596FC9"/>
    <w:rsid w:val="005A0C01"/>
    <w:rsid w:val="005A62B5"/>
    <w:rsid w:val="005A6306"/>
    <w:rsid w:val="005B0109"/>
    <w:rsid w:val="005B0389"/>
    <w:rsid w:val="005B04A4"/>
    <w:rsid w:val="005C2236"/>
    <w:rsid w:val="005C2C39"/>
    <w:rsid w:val="005D4520"/>
    <w:rsid w:val="005E1187"/>
    <w:rsid w:val="005E1DCA"/>
    <w:rsid w:val="005E3F63"/>
    <w:rsid w:val="005E4503"/>
    <w:rsid w:val="005E4936"/>
    <w:rsid w:val="005E6EB4"/>
    <w:rsid w:val="005E6EEB"/>
    <w:rsid w:val="00603F80"/>
    <w:rsid w:val="00603F8F"/>
    <w:rsid w:val="00604321"/>
    <w:rsid w:val="00605B93"/>
    <w:rsid w:val="006064F6"/>
    <w:rsid w:val="0060739C"/>
    <w:rsid w:val="00607F69"/>
    <w:rsid w:val="0061591D"/>
    <w:rsid w:val="00625697"/>
    <w:rsid w:val="00630FC6"/>
    <w:rsid w:val="00632A00"/>
    <w:rsid w:val="00632EC5"/>
    <w:rsid w:val="00637D98"/>
    <w:rsid w:val="0064120B"/>
    <w:rsid w:val="0064417E"/>
    <w:rsid w:val="006469E9"/>
    <w:rsid w:val="006533CA"/>
    <w:rsid w:val="00656E69"/>
    <w:rsid w:val="006606DC"/>
    <w:rsid w:val="006675F4"/>
    <w:rsid w:val="006746E8"/>
    <w:rsid w:val="00680721"/>
    <w:rsid w:val="00681204"/>
    <w:rsid w:val="006837E5"/>
    <w:rsid w:val="00686557"/>
    <w:rsid w:val="006955AD"/>
    <w:rsid w:val="006A3AA2"/>
    <w:rsid w:val="006A5464"/>
    <w:rsid w:val="006B344E"/>
    <w:rsid w:val="006B628F"/>
    <w:rsid w:val="006B6E5F"/>
    <w:rsid w:val="006C54B6"/>
    <w:rsid w:val="006C5712"/>
    <w:rsid w:val="006D1573"/>
    <w:rsid w:val="006D3660"/>
    <w:rsid w:val="006D3969"/>
    <w:rsid w:val="006D5767"/>
    <w:rsid w:val="006D7072"/>
    <w:rsid w:val="006E2159"/>
    <w:rsid w:val="006E5A02"/>
    <w:rsid w:val="006E5DA0"/>
    <w:rsid w:val="006E6578"/>
    <w:rsid w:val="006E6980"/>
    <w:rsid w:val="006F0026"/>
    <w:rsid w:val="007004BE"/>
    <w:rsid w:val="00706634"/>
    <w:rsid w:val="00710E78"/>
    <w:rsid w:val="00711285"/>
    <w:rsid w:val="007129AB"/>
    <w:rsid w:val="007172DD"/>
    <w:rsid w:val="00720A1F"/>
    <w:rsid w:val="00720FAD"/>
    <w:rsid w:val="00722BC7"/>
    <w:rsid w:val="00722E3F"/>
    <w:rsid w:val="00724CF2"/>
    <w:rsid w:val="00726BA4"/>
    <w:rsid w:val="007330C0"/>
    <w:rsid w:val="00736D42"/>
    <w:rsid w:val="007400A1"/>
    <w:rsid w:val="00746C3A"/>
    <w:rsid w:val="00752269"/>
    <w:rsid w:val="00754082"/>
    <w:rsid w:val="00754141"/>
    <w:rsid w:val="00754A8B"/>
    <w:rsid w:val="0075796F"/>
    <w:rsid w:val="007611CD"/>
    <w:rsid w:val="00764184"/>
    <w:rsid w:val="00773263"/>
    <w:rsid w:val="0077497B"/>
    <w:rsid w:val="00781C6D"/>
    <w:rsid w:val="0078334B"/>
    <w:rsid w:val="00783F9C"/>
    <w:rsid w:val="00784039"/>
    <w:rsid w:val="007864ED"/>
    <w:rsid w:val="00792E24"/>
    <w:rsid w:val="00793463"/>
    <w:rsid w:val="007A06C2"/>
    <w:rsid w:val="007A28EC"/>
    <w:rsid w:val="007A3934"/>
    <w:rsid w:val="007A3AB8"/>
    <w:rsid w:val="007A6CC0"/>
    <w:rsid w:val="007A70C7"/>
    <w:rsid w:val="007B6AB4"/>
    <w:rsid w:val="007C25F3"/>
    <w:rsid w:val="007C31F5"/>
    <w:rsid w:val="007C4287"/>
    <w:rsid w:val="007C448D"/>
    <w:rsid w:val="007C56B7"/>
    <w:rsid w:val="007C6E69"/>
    <w:rsid w:val="007C79B0"/>
    <w:rsid w:val="007C7DF1"/>
    <w:rsid w:val="007D077E"/>
    <w:rsid w:val="007D31F7"/>
    <w:rsid w:val="007D380C"/>
    <w:rsid w:val="007D7EFB"/>
    <w:rsid w:val="007E34AB"/>
    <w:rsid w:val="007E399B"/>
    <w:rsid w:val="007F029B"/>
    <w:rsid w:val="007F0680"/>
    <w:rsid w:val="007F1621"/>
    <w:rsid w:val="007F1C90"/>
    <w:rsid w:val="007F3254"/>
    <w:rsid w:val="007F67F3"/>
    <w:rsid w:val="007F7F58"/>
    <w:rsid w:val="008024FB"/>
    <w:rsid w:val="0080303E"/>
    <w:rsid w:val="00804C61"/>
    <w:rsid w:val="00806604"/>
    <w:rsid w:val="00811A58"/>
    <w:rsid w:val="00814E13"/>
    <w:rsid w:val="0081500F"/>
    <w:rsid w:val="00816375"/>
    <w:rsid w:val="0081740B"/>
    <w:rsid w:val="00820BDA"/>
    <w:rsid w:val="00821B4A"/>
    <w:rsid w:val="00822F86"/>
    <w:rsid w:val="00823B6F"/>
    <w:rsid w:val="00824F05"/>
    <w:rsid w:val="00827880"/>
    <w:rsid w:val="00827EF2"/>
    <w:rsid w:val="00833905"/>
    <w:rsid w:val="00836248"/>
    <w:rsid w:val="00844447"/>
    <w:rsid w:val="00845C7A"/>
    <w:rsid w:val="0084750A"/>
    <w:rsid w:val="008477DF"/>
    <w:rsid w:val="0085144C"/>
    <w:rsid w:val="008554B3"/>
    <w:rsid w:val="0086319A"/>
    <w:rsid w:val="008637A6"/>
    <w:rsid w:val="008664AC"/>
    <w:rsid w:val="0087199E"/>
    <w:rsid w:val="00871DD0"/>
    <w:rsid w:val="008750D2"/>
    <w:rsid w:val="00875588"/>
    <w:rsid w:val="00887B96"/>
    <w:rsid w:val="00891939"/>
    <w:rsid w:val="00891BEF"/>
    <w:rsid w:val="00893445"/>
    <w:rsid w:val="00893CC9"/>
    <w:rsid w:val="00894B56"/>
    <w:rsid w:val="008955ED"/>
    <w:rsid w:val="00895D00"/>
    <w:rsid w:val="00896314"/>
    <w:rsid w:val="00896B7A"/>
    <w:rsid w:val="008A7BAE"/>
    <w:rsid w:val="008B0C8C"/>
    <w:rsid w:val="008B0D20"/>
    <w:rsid w:val="008B1A11"/>
    <w:rsid w:val="008B3173"/>
    <w:rsid w:val="008B5D44"/>
    <w:rsid w:val="008C1792"/>
    <w:rsid w:val="008C4879"/>
    <w:rsid w:val="008D37AA"/>
    <w:rsid w:val="008D54B1"/>
    <w:rsid w:val="008D7D2F"/>
    <w:rsid w:val="008E0CB8"/>
    <w:rsid w:val="008E0DA1"/>
    <w:rsid w:val="008E1F1D"/>
    <w:rsid w:val="008E3948"/>
    <w:rsid w:val="008E6121"/>
    <w:rsid w:val="008E69E7"/>
    <w:rsid w:val="008F16D8"/>
    <w:rsid w:val="008F2AE4"/>
    <w:rsid w:val="008F2AEB"/>
    <w:rsid w:val="008F2EAF"/>
    <w:rsid w:val="008F3A7F"/>
    <w:rsid w:val="008F3BA8"/>
    <w:rsid w:val="008F3C9E"/>
    <w:rsid w:val="00902768"/>
    <w:rsid w:val="009105FA"/>
    <w:rsid w:val="009109ED"/>
    <w:rsid w:val="00911F37"/>
    <w:rsid w:val="009128E7"/>
    <w:rsid w:val="0091712F"/>
    <w:rsid w:val="0091735B"/>
    <w:rsid w:val="00922000"/>
    <w:rsid w:val="0092554E"/>
    <w:rsid w:val="00926952"/>
    <w:rsid w:val="00926CD0"/>
    <w:rsid w:val="00933283"/>
    <w:rsid w:val="00933434"/>
    <w:rsid w:val="0094084B"/>
    <w:rsid w:val="00942254"/>
    <w:rsid w:val="00944756"/>
    <w:rsid w:val="00954AA9"/>
    <w:rsid w:val="00954BF6"/>
    <w:rsid w:val="0095644B"/>
    <w:rsid w:val="009572A2"/>
    <w:rsid w:val="00957CA9"/>
    <w:rsid w:val="0096032D"/>
    <w:rsid w:val="009619A4"/>
    <w:rsid w:val="00964952"/>
    <w:rsid w:val="00964B97"/>
    <w:rsid w:val="00972816"/>
    <w:rsid w:val="00984432"/>
    <w:rsid w:val="00987ED0"/>
    <w:rsid w:val="0099092A"/>
    <w:rsid w:val="00994705"/>
    <w:rsid w:val="00996D85"/>
    <w:rsid w:val="0099717D"/>
    <w:rsid w:val="009A0C42"/>
    <w:rsid w:val="009A0C56"/>
    <w:rsid w:val="009A1856"/>
    <w:rsid w:val="009A23F4"/>
    <w:rsid w:val="009A6665"/>
    <w:rsid w:val="009B1683"/>
    <w:rsid w:val="009B4760"/>
    <w:rsid w:val="009C00AD"/>
    <w:rsid w:val="009C07AD"/>
    <w:rsid w:val="009C191F"/>
    <w:rsid w:val="009C3FD7"/>
    <w:rsid w:val="009C4339"/>
    <w:rsid w:val="009C668C"/>
    <w:rsid w:val="009C6692"/>
    <w:rsid w:val="009D01A6"/>
    <w:rsid w:val="009D0842"/>
    <w:rsid w:val="009E1BED"/>
    <w:rsid w:val="009E365F"/>
    <w:rsid w:val="009E4BC1"/>
    <w:rsid w:val="009F5F30"/>
    <w:rsid w:val="009F7FA1"/>
    <w:rsid w:val="00A03258"/>
    <w:rsid w:val="00A0416B"/>
    <w:rsid w:val="00A04406"/>
    <w:rsid w:val="00A046F9"/>
    <w:rsid w:val="00A10DA2"/>
    <w:rsid w:val="00A13554"/>
    <w:rsid w:val="00A140AF"/>
    <w:rsid w:val="00A1635A"/>
    <w:rsid w:val="00A24FBA"/>
    <w:rsid w:val="00A256AE"/>
    <w:rsid w:val="00A32BDD"/>
    <w:rsid w:val="00A33E48"/>
    <w:rsid w:val="00A351DA"/>
    <w:rsid w:val="00A361F2"/>
    <w:rsid w:val="00A4127D"/>
    <w:rsid w:val="00A43575"/>
    <w:rsid w:val="00A436E4"/>
    <w:rsid w:val="00A4533F"/>
    <w:rsid w:val="00A4646C"/>
    <w:rsid w:val="00A5344F"/>
    <w:rsid w:val="00A548A6"/>
    <w:rsid w:val="00A57232"/>
    <w:rsid w:val="00A62631"/>
    <w:rsid w:val="00A62C58"/>
    <w:rsid w:val="00A705D4"/>
    <w:rsid w:val="00A71590"/>
    <w:rsid w:val="00A743B4"/>
    <w:rsid w:val="00A74457"/>
    <w:rsid w:val="00A74C3B"/>
    <w:rsid w:val="00A77E7D"/>
    <w:rsid w:val="00A77F1E"/>
    <w:rsid w:val="00A810D7"/>
    <w:rsid w:val="00A8239E"/>
    <w:rsid w:val="00A865C5"/>
    <w:rsid w:val="00A866C4"/>
    <w:rsid w:val="00AA1009"/>
    <w:rsid w:val="00AA40C4"/>
    <w:rsid w:val="00AA45AC"/>
    <w:rsid w:val="00AB006C"/>
    <w:rsid w:val="00AB247C"/>
    <w:rsid w:val="00AB69F3"/>
    <w:rsid w:val="00AC618B"/>
    <w:rsid w:val="00AD2D2A"/>
    <w:rsid w:val="00AD3AEA"/>
    <w:rsid w:val="00AD43FD"/>
    <w:rsid w:val="00AD4828"/>
    <w:rsid w:val="00AD4F91"/>
    <w:rsid w:val="00AE32AD"/>
    <w:rsid w:val="00AE617C"/>
    <w:rsid w:val="00AE7B3E"/>
    <w:rsid w:val="00AF0C88"/>
    <w:rsid w:val="00AF1FB9"/>
    <w:rsid w:val="00AF22A6"/>
    <w:rsid w:val="00AF3039"/>
    <w:rsid w:val="00AF4087"/>
    <w:rsid w:val="00AF7884"/>
    <w:rsid w:val="00B01B60"/>
    <w:rsid w:val="00B042A0"/>
    <w:rsid w:val="00B051DC"/>
    <w:rsid w:val="00B05F06"/>
    <w:rsid w:val="00B11D95"/>
    <w:rsid w:val="00B12FA8"/>
    <w:rsid w:val="00B151D4"/>
    <w:rsid w:val="00B159E5"/>
    <w:rsid w:val="00B20B15"/>
    <w:rsid w:val="00B22F23"/>
    <w:rsid w:val="00B25848"/>
    <w:rsid w:val="00B25CCA"/>
    <w:rsid w:val="00B3216B"/>
    <w:rsid w:val="00B34B75"/>
    <w:rsid w:val="00B37286"/>
    <w:rsid w:val="00B373ED"/>
    <w:rsid w:val="00B37D2A"/>
    <w:rsid w:val="00B40795"/>
    <w:rsid w:val="00B40C11"/>
    <w:rsid w:val="00B41DBC"/>
    <w:rsid w:val="00B429C7"/>
    <w:rsid w:val="00B44956"/>
    <w:rsid w:val="00B45B13"/>
    <w:rsid w:val="00B470A0"/>
    <w:rsid w:val="00B534EF"/>
    <w:rsid w:val="00B56794"/>
    <w:rsid w:val="00B5686C"/>
    <w:rsid w:val="00B6055E"/>
    <w:rsid w:val="00B713B4"/>
    <w:rsid w:val="00B71F06"/>
    <w:rsid w:val="00B80C7A"/>
    <w:rsid w:val="00B82E4F"/>
    <w:rsid w:val="00B847FC"/>
    <w:rsid w:val="00B84F51"/>
    <w:rsid w:val="00B85DA9"/>
    <w:rsid w:val="00B90548"/>
    <w:rsid w:val="00B92D60"/>
    <w:rsid w:val="00BA026C"/>
    <w:rsid w:val="00BA04D0"/>
    <w:rsid w:val="00BA4DBA"/>
    <w:rsid w:val="00BA527A"/>
    <w:rsid w:val="00BB1AE1"/>
    <w:rsid w:val="00BB2F66"/>
    <w:rsid w:val="00BB3636"/>
    <w:rsid w:val="00BB4D77"/>
    <w:rsid w:val="00BB7EC5"/>
    <w:rsid w:val="00BC60DD"/>
    <w:rsid w:val="00BD0EC5"/>
    <w:rsid w:val="00BD4166"/>
    <w:rsid w:val="00BD423A"/>
    <w:rsid w:val="00BE087D"/>
    <w:rsid w:val="00BE213C"/>
    <w:rsid w:val="00BE2275"/>
    <w:rsid w:val="00BE3B90"/>
    <w:rsid w:val="00BE4AF0"/>
    <w:rsid w:val="00BE51D4"/>
    <w:rsid w:val="00BE71BD"/>
    <w:rsid w:val="00BF37F7"/>
    <w:rsid w:val="00BF3C56"/>
    <w:rsid w:val="00BF5429"/>
    <w:rsid w:val="00C02E55"/>
    <w:rsid w:val="00C04059"/>
    <w:rsid w:val="00C04885"/>
    <w:rsid w:val="00C049D5"/>
    <w:rsid w:val="00C057DF"/>
    <w:rsid w:val="00C11C39"/>
    <w:rsid w:val="00C152E7"/>
    <w:rsid w:val="00C153D9"/>
    <w:rsid w:val="00C1740F"/>
    <w:rsid w:val="00C20496"/>
    <w:rsid w:val="00C21AD7"/>
    <w:rsid w:val="00C22A74"/>
    <w:rsid w:val="00C230B1"/>
    <w:rsid w:val="00C269A2"/>
    <w:rsid w:val="00C26F3C"/>
    <w:rsid w:val="00C27351"/>
    <w:rsid w:val="00C308F1"/>
    <w:rsid w:val="00C3115A"/>
    <w:rsid w:val="00C3709C"/>
    <w:rsid w:val="00C50C42"/>
    <w:rsid w:val="00C529F6"/>
    <w:rsid w:val="00C55926"/>
    <w:rsid w:val="00C56786"/>
    <w:rsid w:val="00C616A5"/>
    <w:rsid w:val="00C62A30"/>
    <w:rsid w:val="00C64036"/>
    <w:rsid w:val="00C67764"/>
    <w:rsid w:val="00C72D6B"/>
    <w:rsid w:val="00C74FB0"/>
    <w:rsid w:val="00C765E2"/>
    <w:rsid w:val="00C81C80"/>
    <w:rsid w:val="00C82309"/>
    <w:rsid w:val="00C963FD"/>
    <w:rsid w:val="00C97E7B"/>
    <w:rsid w:val="00CA3572"/>
    <w:rsid w:val="00CA3890"/>
    <w:rsid w:val="00CB23FB"/>
    <w:rsid w:val="00CB3A8D"/>
    <w:rsid w:val="00CB752C"/>
    <w:rsid w:val="00CC005A"/>
    <w:rsid w:val="00CC01D5"/>
    <w:rsid w:val="00CC12A6"/>
    <w:rsid w:val="00CC50A1"/>
    <w:rsid w:val="00CD5BCC"/>
    <w:rsid w:val="00CD70EA"/>
    <w:rsid w:val="00CE406D"/>
    <w:rsid w:val="00CF0AB1"/>
    <w:rsid w:val="00CF0D8C"/>
    <w:rsid w:val="00CF6314"/>
    <w:rsid w:val="00D00597"/>
    <w:rsid w:val="00D028F3"/>
    <w:rsid w:val="00D032F6"/>
    <w:rsid w:val="00D07372"/>
    <w:rsid w:val="00D078E6"/>
    <w:rsid w:val="00D1355B"/>
    <w:rsid w:val="00D1390D"/>
    <w:rsid w:val="00D143BF"/>
    <w:rsid w:val="00D22A09"/>
    <w:rsid w:val="00D24667"/>
    <w:rsid w:val="00D274EC"/>
    <w:rsid w:val="00D306D6"/>
    <w:rsid w:val="00D326D1"/>
    <w:rsid w:val="00D40F18"/>
    <w:rsid w:val="00D41D90"/>
    <w:rsid w:val="00D4481D"/>
    <w:rsid w:val="00D4615C"/>
    <w:rsid w:val="00D46AD9"/>
    <w:rsid w:val="00D46B4E"/>
    <w:rsid w:val="00D47ABD"/>
    <w:rsid w:val="00D514AF"/>
    <w:rsid w:val="00D538E9"/>
    <w:rsid w:val="00D54426"/>
    <w:rsid w:val="00D548FB"/>
    <w:rsid w:val="00D55C06"/>
    <w:rsid w:val="00D5787C"/>
    <w:rsid w:val="00D601EA"/>
    <w:rsid w:val="00D64A4F"/>
    <w:rsid w:val="00D64DFC"/>
    <w:rsid w:val="00D71AD6"/>
    <w:rsid w:val="00D71B74"/>
    <w:rsid w:val="00D7355F"/>
    <w:rsid w:val="00D73AE7"/>
    <w:rsid w:val="00D73FE3"/>
    <w:rsid w:val="00D8143C"/>
    <w:rsid w:val="00D82A45"/>
    <w:rsid w:val="00D86792"/>
    <w:rsid w:val="00D90332"/>
    <w:rsid w:val="00D907CF"/>
    <w:rsid w:val="00D92D2F"/>
    <w:rsid w:val="00D950F1"/>
    <w:rsid w:val="00DA2A13"/>
    <w:rsid w:val="00DA489F"/>
    <w:rsid w:val="00DA6974"/>
    <w:rsid w:val="00DB02BE"/>
    <w:rsid w:val="00DB6C92"/>
    <w:rsid w:val="00DC45ED"/>
    <w:rsid w:val="00DC584C"/>
    <w:rsid w:val="00DC7AF1"/>
    <w:rsid w:val="00DD0571"/>
    <w:rsid w:val="00DD444A"/>
    <w:rsid w:val="00DD4F58"/>
    <w:rsid w:val="00DE006E"/>
    <w:rsid w:val="00DE4C80"/>
    <w:rsid w:val="00DE6E97"/>
    <w:rsid w:val="00DF1C13"/>
    <w:rsid w:val="00DF4EC8"/>
    <w:rsid w:val="00E009E8"/>
    <w:rsid w:val="00E01331"/>
    <w:rsid w:val="00E02FDA"/>
    <w:rsid w:val="00E04259"/>
    <w:rsid w:val="00E121C2"/>
    <w:rsid w:val="00E1460D"/>
    <w:rsid w:val="00E14FDB"/>
    <w:rsid w:val="00E17614"/>
    <w:rsid w:val="00E20A28"/>
    <w:rsid w:val="00E21D7E"/>
    <w:rsid w:val="00E225F2"/>
    <w:rsid w:val="00E25CD7"/>
    <w:rsid w:val="00E37361"/>
    <w:rsid w:val="00E407BC"/>
    <w:rsid w:val="00E42A1B"/>
    <w:rsid w:val="00E5084C"/>
    <w:rsid w:val="00E5303A"/>
    <w:rsid w:val="00E55DF3"/>
    <w:rsid w:val="00E60DBB"/>
    <w:rsid w:val="00E61C50"/>
    <w:rsid w:val="00E62EF1"/>
    <w:rsid w:val="00E64CD7"/>
    <w:rsid w:val="00E663D9"/>
    <w:rsid w:val="00E665C7"/>
    <w:rsid w:val="00E7065C"/>
    <w:rsid w:val="00E8227A"/>
    <w:rsid w:val="00E877F8"/>
    <w:rsid w:val="00E946C0"/>
    <w:rsid w:val="00E952C2"/>
    <w:rsid w:val="00E958CE"/>
    <w:rsid w:val="00E96603"/>
    <w:rsid w:val="00E97665"/>
    <w:rsid w:val="00E97AA1"/>
    <w:rsid w:val="00EA0CD3"/>
    <w:rsid w:val="00EA2ED5"/>
    <w:rsid w:val="00EA2FD7"/>
    <w:rsid w:val="00EA36E2"/>
    <w:rsid w:val="00EA4BC1"/>
    <w:rsid w:val="00EA62C2"/>
    <w:rsid w:val="00EA6AA1"/>
    <w:rsid w:val="00EB0437"/>
    <w:rsid w:val="00EB15EF"/>
    <w:rsid w:val="00EB2366"/>
    <w:rsid w:val="00EB4B79"/>
    <w:rsid w:val="00EB51CD"/>
    <w:rsid w:val="00EC08E1"/>
    <w:rsid w:val="00EC2D75"/>
    <w:rsid w:val="00EC37B9"/>
    <w:rsid w:val="00EC422F"/>
    <w:rsid w:val="00EC70C4"/>
    <w:rsid w:val="00ED4898"/>
    <w:rsid w:val="00ED579E"/>
    <w:rsid w:val="00ED5EDE"/>
    <w:rsid w:val="00EE0EE9"/>
    <w:rsid w:val="00EE7B8D"/>
    <w:rsid w:val="00EF25AB"/>
    <w:rsid w:val="00EF6B68"/>
    <w:rsid w:val="00F02CBD"/>
    <w:rsid w:val="00F03E8D"/>
    <w:rsid w:val="00F046EA"/>
    <w:rsid w:val="00F06609"/>
    <w:rsid w:val="00F11519"/>
    <w:rsid w:val="00F2144D"/>
    <w:rsid w:val="00F2292B"/>
    <w:rsid w:val="00F24136"/>
    <w:rsid w:val="00F24AEE"/>
    <w:rsid w:val="00F24B9A"/>
    <w:rsid w:val="00F25613"/>
    <w:rsid w:val="00F30980"/>
    <w:rsid w:val="00F31E0C"/>
    <w:rsid w:val="00F32F82"/>
    <w:rsid w:val="00F333B6"/>
    <w:rsid w:val="00F33483"/>
    <w:rsid w:val="00F353A2"/>
    <w:rsid w:val="00F406BC"/>
    <w:rsid w:val="00F40BC4"/>
    <w:rsid w:val="00F41483"/>
    <w:rsid w:val="00F437C0"/>
    <w:rsid w:val="00F45DEC"/>
    <w:rsid w:val="00F4674E"/>
    <w:rsid w:val="00F472BE"/>
    <w:rsid w:val="00F51187"/>
    <w:rsid w:val="00F603A1"/>
    <w:rsid w:val="00F615E6"/>
    <w:rsid w:val="00F61B4B"/>
    <w:rsid w:val="00F62EDE"/>
    <w:rsid w:val="00F6402E"/>
    <w:rsid w:val="00F665FE"/>
    <w:rsid w:val="00F67B6B"/>
    <w:rsid w:val="00F716E3"/>
    <w:rsid w:val="00F73AA5"/>
    <w:rsid w:val="00F75F33"/>
    <w:rsid w:val="00F77F84"/>
    <w:rsid w:val="00F84195"/>
    <w:rsid w:val="00F84A55"/>
    <w:rsid w:val="00F84C33"/>
    <w:rsid w:val="00F86968"/>
    <w:rsid w:val="00F940EA"/>
    <w:rsid w:val="00F94730"/>
    <w:rsid w:val="00F95F80"/>
    <w:rsid w:val="00FA1E53"/>
    <w:rsid w:val="00FA3197"/>
    <w:rsid w:val="00FA5E28"/>
    <w:rsid w:val="00FB208B"/>
    <w:rsid w:val="00FB2349"/>
    <w:rsid w:val="00FC0198"/>
    <w:rsid w:val="00FC2311"/>
    <w:rsid w:val="00FD625F"/>
    <w:rsid w:val="00FD6346"/>
    <w:rsid w:val="00FD6962"/>
    <w:rsid w:val="00FD7663"/>
    <w:rsid w:val="00FE03AB"/>
    <w:rsid w:val="00FE03B9"/>
    <w:rsid w:val="00FE071D"/>
    <w:rsid w:val="00FE12F7"/>
    <w:rsid w:val="00FE414A"/>
    <w:rsid w:val="00FE47C7"/>
    <w:rsid w:val="00FF0926"/>
    <w:rsid w:val="00FF365B"/>
    <w:rsid w:val="00FF7EDA"/>
    <w:rsid w:val="01A5418D"/>
    <w:rsid w:val="01F634B2"/>
    <w:rsid w:val="02260C2D"/>
    <w:rsid w:val="02ED0D9B"/>
    <w:rsid w:val="035E3D8A"/>
    <w:rsid w:val="03654591"/>
    <w:rsid w:val="03C47E2C"/>
    <w:rsid w:val="043969F5"/>
    <w:rsid w:val="04464B92"/>
    <w:rsid w:val="048440A3"/>
    <w:rsid w:val="048A0E59"/>
    <w:rsid w:val="04A03034"/>
    <w:rsid w:val="05595E92"/>
    <w:rsid w:val="065A2D64"/>
    <w:rsid w:val="06AA2975"/>
    <w:rsid w:val="06BA0D0B"/>
    <w:rsid w:val="0713206F"/>
    <w:rsid w:val="072E04A8"/>
    <w:rsid w:val="07FA1B51"/>
    <w:rsid w:val="083977E7"/>
    <w:rsid w:val="09807818"/>
    <w:rsid w:val="0A0D199E"/>
    <w:rsid w:val="0A406804"/>
    <w:rsid w:val="0A5444F4"/>
    <w:rsid w:val="0ACD6F29"/>
    <w:rsid w:val="0AD1341E"/>
    <w:rsid w:val="0B0C4583"/>
    <w:rsid w:val="0C6C5192"/>
    <w:rsid w:val="0C9054E0"/>
    <w:rsid w:val="0C9340D0"/>
    <w:rsid w:val="0C9E7ED8"/>
    <w:rsid w:val="0CBB2255"/>
    <w:rsid w:val="0D025FBE"/>
    <w:rsid w:val="0D6E40D8"/>
    <w:rsid w:val="0DE672C7"/>
    <w:rsid w:val="0E382AEC"/>
    <w:rsid w:val="0E5902BD"/>
    <w:rsid w:val="0EB85210"/>
    <w:rsid w:val="0F0F3016"/>
    <w:rsid w:val="0F466484"/>
    <w:rsid w:val="0F7F70F7"/>
    <w:rsid w:val="0FAA073C"/>
    <w:rsid w:val="0FD55719"/>
    <w:rsid w:val="10872765"/>
    <w:rsid w:val="10C230FA"/>
    <w:rsid w:val="116E0ADA"/>
    <w:rsid w:val="117E0D84"/>
    <w:rsid w:val="12884065"/>
    <w:rsid w:val="12975732"/>
    <w:rsid w:val="12BC50C6"/>
    <w:rsid w:val="13ED386C"/>
    <w:rsid w:val="13F951BA"/>
    <w:rsid w:val="13FE51F3"/>
    <w:rsid w:val="14557380"/>
    <w:rsid w:val="15793628"/>
    <w:rsid w:val="15DC4A85"/>
    <w:rsid w:val="162132AE"/>
    <w:rsid w:val="163B3E60"/>
    <w:rsid w:val="167D05CE"/>
    <w:rsid w:val="17143FA0"/>
    <w:rsid w:val="175A2E39"/>
    <w:rsid w:val="179F0BB4"/>
    <w:rsid w:val="17B957BE"/>
    <w:rsid w:val="197F54FF"/>
    <w:rsid w:val="19DB1E2C"/>
    <w:rsid w:val="1B864C9A"/>
    <w:rsid w:val="1B903022"/>
    <w:rsid w:val="1C0862BB"/>
    <w:rsid w:val="1C241BE7"/>
    <w:rsid w:val="1CB37D07"/>
    <w:rsid w:val="1CFE2139"/>
    <w:rsid w:val="1E3848D6"/>
    <w:rsid w:val="1E5F7105"/>
    <w:rsid w:val="1E7508CC"/>
    <w:rsid w:val="1EAC0EB6"/>
    <w:rsid w:val="1EF272FF"/>
    <w:rsid w:val="1F4626CD"/>
    <w:rsid w:val="1F807167"/>
    <w:rsid w:val="1F827685"/>
    <w:rsid w:val="1F8D03FB"/>
    <w:rsid w:val="1FB15394"/>
    <w:rsid w:val="202D3810"/>
    <w:rsid w:val="20A64A6F"/>
    <w:rsid w:val="20B27067"/>
    <w:rsid w:val="20E56695"/>
    <w:rsid w:val="20E71ED8"/>
    <w:rsid w:val="216B21EF"/>
    <w:rsid w:val="21865F2E"/>
    <w:rsid w:val="21FF4AA2"/>
    <w:rsid w:val="224D3CB4"/>
    <w:rsid w:val="22935F5E"/>
    <w:rsid w:val="22A35DB5"/>
    <w:rsid w:val="22D57BFF"/>
    <w:rsid w:val="23197E78"/>
    <w:rsid w:val="23592BDD"/>
    <w:rsid w:val="239A3AD6"/>
    <w:rsid w:val="23C31666"/>
    <w:rsid w:val="23D46252"/>
    <w:rsid w:val="23DA2E93"/>
    <w:rsid w:val="24694B99"/>
    <w:rsid w:val="248A45C1"/>
    <w:rsid w:val="24B07678"/>
    <w:rsid w:val="24EE7F00"/>
    <w:rsid w:val="250E37A5"/>
    <w:rsid w:val="2557777A"/>
    <w:rsid w:val="25EE7475"/>
    <w:rsid w:val="26B176DB"/>
    <w:rsid w:val="26F45F6E"/>
    <w:rsid w:val="272D039E"/>
    <w:rsid w:val="273A3C01"/>
    <w:rsid w:val="27896F1D"/>
    <w:rsid w:val="27E16F52"/>
    <w:rsid w:val="27EA3E9A"/>
    <w:rsid w:val="288268D2"/>
    <w:rsid w:val="29B15A97"/>
    <w:rsid w:val="29B77570"/>
    <w:rsid w:val="2A00618D"/>
    <w:rsid w:val="2A9E4B13"/>
    <w:rsid w:val="2AF81650"/>
    <w:rsid w:val="2C2B0FC4"/>
    <w:rsid w:val="2C660FFF"/>
    <w:rsid w:val="2CA4591D"/>
    <w:rsid w:val="2CCE740A"/>
    <w:rsid w:val="2D9D05F7"/>
    <w:rsid w:val="2DA0135B"/>
    <w:rsid w:val="2DAD380F"/>
    <w:rsid w:val="2E284EE1"/>
    <w:rsid w:val="2E6C02F2"/>
    <w:rsid w:val="2E8852CD"/>
    <w:rsid w:val="2EA53B7B"/>
    <w:rsid w:val="2EB12789"/>
    <w:rsid w:val="2EDF65AF"/>
    <w:rsid w:val="2F5318DD"/>
    <w:rsid w:val="2FF214C4"/>
    <w:rsid w:val="2FF35065"/>
    <w:rsid w:val="30FA589B"/>
    <w:rsid w:val="31323216"/>
    <w:rsid w:val="31702673"/>
    <w:rsid w:val="31DC21F8"/>
    <w:rsid w:val="320431F9"/>
    <w:rsid w:val="325A6AD7"/>
    <w:rsid w:val="333D73CE"/>
    <w:rsid w:val="33427AD7"/>
    <w:rsid w:val="33983D24"/>
    <w:rsid w:val="33B824AD"/>
    <w:rsid w:val="33D56E05"/>
    <w:rsid w:val="34DF0FB4"/>
    <w:rsid w:val="34EC55D7"/>
    <w:rsid w:val="354645AD"/>
    <w:rsid w:val="357A21B3"/>
    <w:rsid w:val="357A4CD8"/>
    <w:rsid w:val="35D61551"/>
    <w:rsid w:val="35FB546A"/>
    <w:rsid w:val="36445DBC"/>
    <w:rsid w:val="36F72BEC"/>
    <w:rsid w:val="36F92EB6"/>
    <w:rsid w:val="371D558D"/>
    <w:rsid w:val="37980CA3"/>
    <w:rsid w:val="37DC4E05"/>
    <w:rsid w:val="383F5D06"/>
    <w:rsid w:val="38931A80"/>
    <w:rsid w:val="38CD767D"/>
    <w:rsid w:val="38E55A2A"/>
    <w:rsid w:val="394852E4"/>
    <w:rsid w:val="39D761A7"/>
    <w:rsid w:val="39FD52A5"/>
    <w:rsid w:val="39FF211B"/>
    <w:rsid w:val="3A626C47"/>
    <w:rsid w:val="3AB54388"/>
    <w:rsid w:val="3ABB748F"/>
    <w:rsid w:val="3ADF306C"/>
    <w:rsid w:val="3B3E7761"/>
    <w:rsid w:val="3BF22D97"/>
    <w:rsid w:val="3C1A33E6"/>
    <w:rsid w:val="3C4458DC"/>
    <w:rsid w:val="3C9C727A"/>
    <w:rsid w:val="3D2873E8"/>
    <w:rsid w:val="3D3C10DB"/>
    <w:rsid w:val="3D84247A"/>
    <w:rsid w:val="3DCB30D6"/>
    <w:rsid w:val="3E3A7C7C"/>
    <w:rsid w:val="3E4E4996"/>
    <w:rsid w:val="3E63283D"/>
    <w:rsid w:val="3EB40013"/>
    <w:rsid w:val="3FAB2244"/>
    <w:rsid w:val="3FCC6E4F"/>
    <w:rsid w:val="40123F08"/>
    <w:rsid w:val="403402C0"/>
    <w:rsid w:val="403E14A0"/>
    <w:rsid w:val="406C7472"/>
    <w:rsid w:val="407D1B24"/>
    <w:rsid w:val="40B45839"/>
    <w:rsid w:val="418B0C9E"/>
    <w:rsid w:val="419324B7"/>
    <w:rsid w:val="41BA51B8"/>
    <w:rsid w:val="41C50B87"/>
    <w:rsid w:val="42793D90"/>
    <w:rsid w:val="42C43A2B"/>
    <w:rsid w:val="42F400D7"/>
    <w:rsid w:val="433B4578"/>
    <w:rsid w:val="437D156D"/>
    <w:rsid w:val="43E073F7"/>
    <w:rsid w:val="43ED5A9C"/>
    <w:rsid w:val="443E2237"/>
    <w:rsid w:val="44587EF3"/>
    <w:rsid w:val="4465658C"/>
    <w:rsid w:val="44A613DA"/>
    <w:rsid w:val="44BB34E3"/>
    <w:rsid w:val="452C0DFA"/>
    <w:rsid w:val="46504BC7"/>
    <w:rsid w:val="46B35436"/>
    <w:rsid w:val="471C180E"/>
    <w:rsid w:val="476B5BC2"/>
    <w:rsid w:val="47C124E5"/>
    <w:rsid w:val="48E96E34"/>
    <w:rsid w:val="49127EFC"/>
    <w:rsid w:val="49AE322C"/>
    <w:rsid w:val="49B0716B"/>
    <w:rsid w:val="49F318D0"/>
    <w:rsid w:val="4A2701C4"/>
    <w:rsid w:val="4A6B7A2C"/>
    <w:rsid w:val="4A854ABD"/>
    <w:rsid w:val="4AC1351A"/>
    <w:rsid w:val="4AE67E07"/>
    <w:rsid w:val="4B0628C9"/>
    <w:rsid w:val="4B194D0C"/>
    <w:rsid w:val="4B4D571D"/>
    <w:rsid w:val="4B55330F"/>
    <w:rsid w:val="4BBA511F"/>
    <w:rsid w:val="4C182AE6"/>
    <w:rsid w:val="4C2A0937"/>
    <w:rsid w:val="4C6273B9"/>
    <w:rsid w:val="4CD14B82"/>
    <w:rsid w:val="4D3A63E7"/>
    <w:rsid w:val="4D521BC6"/>
    <w:rsid w:val="4D6668D5"/>
    <w:rsid w:val="4D912B80"/>
    <w:rsid w:val="4E2C2991"/>
    <w:rsid w:val="4EB520EB"/>
    <w:rsid w:val="4EDC52BD"/>
    <w:rsid w:val="4EDC7135"/>
    <w:rsid w:val="4F031825"/>
    <w:rsid w:val="4F3A1C03"/>
    <w:rsid w:val="4F3F6A7F"/>
    <w:rsid w:val="4FB45E08"/>
    <w:rsid w:val="4FE41338"/>
    <w:rsid w:val="512527DF"/>
    <w:rsid w:val="512607AE"/>
    <w:rsid w:val="514C279A"/>
    <w:rsid w:val="517B1794"/>
    <w:rsid w:val="51BA3E53"/>
    <w:rsid w:val="531A3E4E"/>
    <w:rsid w:val="53475516"/>
    <w:rsid w:val="53514DCB"/>
    <w:rsid w:val="53BF0134"/>
    <w:rsid w:val="54483604"/>
    <w:rsid w:val="54801EFB"/>
    <w:rsid w:val="548601D8"/>
    <w:rsid w:val="54AE4019"/>
    <w:rsid w:val="550444C2"/>
    <w:rsid w:val="550F3F9F"/>
    <w:rsid w:val="55170547"/>
    <w:rsid w:val="558657B4"/>
    <w:rsid w:val="55BC551D"/>
    <w:rsid w:val="55CC394F"/>
    <w:rsid w:val="5637508E"/>
    <w:rsid w:val="563B3825"/>
    <w:rsid w:val="567C4465"/>
    <w:rsid w:val="56A958D3"/>
    <w:rsid w:val="56C21A24"/>
    <w:rsid w:val="56E0208A"/>
    <w:rsid w:val="56F379CF"/>
    <w:rsid w:val="570F0FFE"/>
    <w:rsid w:val="571A1154"/>
    <w:rsid w:val="577123A1"/>
    <w:rsid w:val="57836185"/>
    <w:rsid w:val="578C0366"/>
    <w:rsid w:val="57BA5442"/>
    <w:rsid w:val="57CF56CB"/>
    <w:rsid w:val="57DA792D"/>
    <w:rsid w:val="583B6174"/>
    <w:rsid w:val="583D4851"/>
    <w:rsid w:val="583F2EAB"/>
    <w:rsid w:val="58502CD4"/>
    <w:rsid w:val="58EC5691"/>
    <w:rsid w:val="59123E96"/>
    <w:rsid w:val="59147007"/>
    <w:rsid w:val="599C0464"/>
    <w:rsid w:val="59F70223"/>
    <w:rsid w:val="5A3B17BD"/>
    <w:rsid w:val="5A474D47"/>
    <w:rsid w:val="5A902B68"/>
    <w:rsid w:val="5BBB0224"/>
    <w:rsid w:val="5BBF5148"/>
    <w:rsid w:val="5BD05E74"/>
    <w:rsid w:val="5C515B5D"/>
    <w:rsid w:val="5C5F6AB3"/>
    <w:rsid w:val="5CC30540"/>
    <w:rsid w:val="5D1375AC"/>
    <w:rsid w:val="5D260C53"/>
    <w:rsid w:val="5D2A2FDA"/>
    <w:rsid w:val="5D463B58"/>
    <w:rsid w:val="5D5D6B3C"/>
    <w:rsid w:val="5D706ADD"/>
    <w:rsid w:val="5D8670EE"/>
    <w:rsid w:val="5F5106C7"/>
    <w:rsid w:val="5FF33543"/>
    <w:rsid w:val="609E366E"/>
    <w:rsid w:val="60BF3DB0"/>
    <w:rsid w:val="60D847A9"/>
    <w:rsid w:val="610413D9"/>
    <w:rsid w:val="61E40DFE"/>
    <w:rsid w:val="61E47E82"/>
    <w:rsid w:val="62167DA2"/>
    <w:rsid w:val="628F481C"/>
    <w:rsid w:val="631D1413"/>
    <w:rsid w:val="63217257"/>
    <w:rsid w:val="63824DEE"/>
    <w:rsid w:val="646E16F4"/>
    <w:rsid w:val="64752685"/>
    <w:rsid w:val="64B61C02"/>
    <w:rsid w:val="64BD0AAA"/>
    <w:rsid w:val="653536BE"/>
    <w:rsid w:val="654C6700"/>
    <w:rsid w:val="66155372"/>
    <w:rsid w:val="663F393C"/>
    <w:rsid w:val="66772977"/>
    <w:rsid w:val="66CC6C03"/>
    <w:rsid w:val="66F25A08"/>
    <w:rsid w:val="689240B9"/>
    <w:rsid w:val="68B266E8"/>
    <w:rsid w:val="69796DCB"/>
    <w:rsid w:val="69917693"/>
    <w:rsid w:val="6A984B6F"/>
    <w:rsid w:val="6AEE6B76"/>
    <w:rsid w:val="6BDB3D82"/>
    <w:rsid w:val="6BDD3FCA"/>
    <w:rsid w:val="6C91081B"/>
    <w:rsid w:val="6CAE0DF8"/>
    <w:rsid w:val="6CFA7017"/>
    <w:rsid w:val="6DFD3A1E"/>
    <w:rsid w:val="6E0863C9"/>
    <w:rsid w:val="6E0D38F6"/>
    <w:rsid w:val="6EA42CFC"/>
    <w:rsid w:val="6ED14F3A"/>
    <w:rsid w:val="6ED25D5B"/>
    <w:rsid w:val="6F3A6CBF"/>
    <w:rsid w:val="6F53747A"/>
    <w:rsid w:val="6FB646C2"/>
    <w:rsid w:val="6FD47B58"/>
    <w:rsid w:val="6FF7398C"/>
    <w:rsid w:val="70867598"/>
    <w:rsid w:val="70C517E2"/>
    <w:rsid w:val="71200737"/>
    <w:rsid w:val="72375948"/>
    <w:rsid w:val="727C1CA1"/>
    <w:rsid w:val="730573F2"/>
    <w:rsid w:val="730823B8"/>
    <w:rsid w:val="73160EC2"/>
    <w:rsid w:val="73911D09"/>
    <w:rsid w:val="74B43E67"/>
    <w:rsid w:val="75F973CF"/>
    <w:rsid w:val="764D0190"/>
    <w:rsid w:val="76AE0680"/>
    <w:rsid w:val="76B71BCC"/>
    <w:rsid w:val="76B73CC8"/>
    <w:rsid w:val="76FA2C38"/>
    <w:rsid w:val="771F1E10"/>
    <w:rsid w:val="77781909"/>
    <w:rsid w:val="78132CA0"/>
    <w:rsid w:val="785346FA"/>
    <w:rsid w:val="78585CF2"/>
    <w:rsid w:val="788E1E82"/>
    <w:rsid w:val="78A52A11"/>
    <w:rsid w:val="78D512B4"/>
    <w:rsid w:val="79065A16"/>
    <w:rsid w:val="791C6CE7"/>
    <w:rsid w:val="798E75F6"/>
    <w:rsid w:val="79D76FC6"/>
    <w:rsid w:val="7A2901E7"/>
    <w:rsid w:val="7A291954"/>
    <w:rsid w:val="7A5E3928"/>
    <w:rsid w:val="7A6A5B70"/>
    <w:rsid w:val="7A9B4E86"/>
    <w:rsid w:val="7AFA4161"/>
    <w:rsid w:val="7C70362F"/>
    <w:rsid w:val="7C91166B"/>
    <w:rsid w:val="7D4B3D0F"/>
    <w:rsid w:val="7D854BA8"/>
    <w:rsid w:val="7D9F5BF0"/>
    <w:rsid w:val="7DE30DA7"/>
    <w:rsid w:val="7DF36667"/>
    <w:rsid w:val="7E4413F1"/>
    <w:rsid w:val="7EBC1DA5"/>
    <w:rsid w:val="7F9F2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3"/>
    <w:uiPriority w:val="0"/>
    <w:pPr>
      <w:ind w:firstLine="200" w:firstLineChars="200"/>
      <w:jc w:val="left"/>
      <w:outlineLvl w:val="0"/>
    </w:pPr>
    <w:rPr>
      <w:rFonts w:cs="Arial"/>
      <w:b/>
      <w:bCs/>
      <w:color w:val="000000"/>
      <w:kern w:val="44"/>
      <w:sz w:val="32"/>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toc 3"/>
    <w:basedOn w:val="1"/>
    <w:next w:val="1"/>
    <w:qFormat/>
    <w:uiPriority w:val="39"/>
    <w:pPr>
      <w:tabs>
        <w:tab w:val="right" w:leader="dot" w:pos="9241"/>
      </w:tabs>
      <w:ind w:firstLine="102" w:firstLineChars="100"/>
      <w:jc w:val="left"/>
    </w:pPr>
    <w:rPr>
      <w:rFonts w:ascii="宋体"/>
      <w:szCs w:val="21"/>
    </w:rPr>
  </w:style>
  <w:style w:type="paragraph" w:styleId="4">
    <w:name w:val="Balloon Text"/>
    <w:basedOn w:val="1"/>
    <w:link w:val="2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ascii="Times New Roman" w:hAnsi="Times New Roman" w:eastAsia="宋体"/>
      <w:sz w:val="18"/>
    </w:rPr>
  </w:style>
  <w:style w:type="character" w:styleId="12">
    <w:name w:val="Hyperlink"/>
    <w:basedOn w:val="10"/>
    <w:qFormat/>
    <w:uiPriority w:val="99"/>
    <w:rPr>
      <w:color w:val="0000FF"/>
      <w:spacing w:val="0"/>
      <w:w w:val="100"/>
      <w:szCs w:val="21"/>
      <w:u w:val="single"/>
    </w:rPr>
  </w:style>
  <w:style w:type="character" w:customStyle="1" w:styleId="13">
    <w:name w:val="页眉 字符"/>
    <w:link w:val="6"/>
    <w:qFormat/>
    <w:uiPriority w:val="99"/>
    <w:rPr>
      <w:sz w:val="18"/>
      <w:szCs w:val="18"/>
    </w:rPr>
  </w:style>
  <w:style w:type="character" w:customStyle="1" w:styleId="14">
    <w:name w:val="页脚 字符"/>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HTML 预设格式 字符"/>
    <w:link w:val="7"/>
    <w:qFormat/>
    <w:uiPriority w:val="99"/>
    <w:rPr>
      <w:rFonts w:ascii="宋体" w:hAnsi="宋体" w:cs="宋体"/>
      <w:sz w:val="24"/>
      <w:szCs w:val="24"/>
    </w:rPr>
  </w:style>
  <w:style w:type="character" w:customStyle="1" w:styleId="17">
    <w:name w:val="HTML 预设格式 Char1"/>
    <w:semiHidden/>
    <w:qFormat/>
    <w:uiPriority w:val="99"/>
    <w:rPr>
      <w:rFonts w:ascii="Courier New" w:hAnsi="Courier New" w:cs="Courier New"/>
      <w:sz w:val="20"/>
      <w:szCs w:val="20"/>
    </w:rPr>
  </w:style>
  <w:style w:type="character" w:customStyle="1" w:styleId="18">
    <w:name w:val="章标题 Char"/>
    <w:link w:val="19"/>
    <w:qFormat/>
    <w:uiPriority w:val="0"/>
    <w:rPr>
      <w:rFonts w:ascii="黑体" w:eastAsia="黑体"/>
      <w:kern w:val="2"/>
      <w:sz w:val="21"/>
      <w:szCs w:val="22"/>
      <w:lang w:val="en-US" w:eastAsia="zh-CN" w:bidi="ar-SA"/>
    </w:rPr>
  </w:style>
  <w:style w:type="paragraph" w:customStyle="1" w:styleId="19">
    <w:name w:val="章标题"/>
    <w:next w:val="20"/>
    <w:link w:val="18"/>
    <w:qFormat/>
    <w:uiPriority w:val="0"/>
    <w:pPr>
      <w:spacing w:beforeLines="100" w:afterLines="100" w:line="360" w:lineRule="auto"/>
      <w:ind w:left="720" w:hanging="720"/>
      <w:jc w:val="both"/>
      <w:outlineLvl w:val="1"/>
    </w:pPr>
    <w:rPr>
      <w:rFonts w:ascii="黑体" w:hAnsi="Calibri" w:eastAsia="黑体" w:cs="Times New Roman"/>
      <w:kern w:val="2"/>
      <w:sz w:val="21"/>
      <w:szCs w:val="22"/>
      <w:lang w:val="en-US" w:eastAsia="zh-CN" w:bidi="ar-SA"/>
    </w:rPr>
  </w:style>
  <w:style w:type="paragraph" w:customStyle="1" w:styleId="20">
    <w:name w:val="段"/>
    <w:link w:val="21"/>
    <w:qFormat/>
    <w:uiPriority w:val="0"/>
    <w:pPr>
      <w:tabs>
        <w:tab w:val="center" w:pos="4201"/>
        <w:tab w:val="right" w:leader="dot" w:pos="9298"/>
      </w:tabs>
      <w:autoSpaceDE w:val="0"/>
      <w:autoSpaceDN w:val="0"/>
      <w:spacing w:beforeLines="50" w:afterLines="50" w:line="360" w:lineRule="auto"/>
      <w:ind w:firstLine="420" w:firstLineChars="200"/>
      <w:jc w:val="both"/>
    </w:pPr>
    <w:rPr>
      <w:rFonts w:ascii="宋体" w:hAnsi="Calibri" w:eastAsia="宋体" w:cs="Times New Roman"/>
      <w:kern w:val="2"/>
      <w:sz w:val="21"/>
      <w:szCs w:val="22"/>
      <w:lang w:val="en-US" w:eastAsia="zh-CN" w:bidi="ar-SA"/>
    </w:rPr>
  </w:style>
  <w:style w:type="character" w:customStyle="1" w:styleId="21">
    <w:name w:val="段 Char"/>
    <w:link w:val="20"/>
    <w:qFormat/>
    <w:uiPriority w:val="0"/>
    <w:rPr>
      <w:rFonts w:ascii="宋体"/>
      <w:kern w:val="2"/>
      <w:sz w:val="21"/>
      <w:szCs w:val="22"/>
      <w:lang w:val="en-US" w:eastAsia="zh-CN" w:bidi="ar-SA"/>
    </w:rPr>
  </w:style>
  <w:style w:type="character" w:customStyle="1" w:styleId="22">
    <w:name w:val="批注框文本 字符"/>
    <w:link w:val="4"/>
    <w:semiHidden/>
    <w:qFormat/>
    <w:uiPriority w:val="99"/>
    <w:rPr>
      <w:kern w:val="2"/>
      <w:sz w:val="18"/>
      <w:szCs w:val="18"/>
    </w:rPr>
  </w:style>
  <w:style w:type="paragraph" w:customStyle="1" w:styleId="23">
    <w:name w:val="二级条标题"/>
    <w:basedOn w:val="24"/>
    <w:next w:val="20"/>
    <w:qFormat/>
    <w:uiPriority w:val="0"/>
    <w:pPr>
      <w:spacing w:line="360" w:lineRule="auto"/>
      <w:outlineLvl w:val="3"/>
    </w:pPr>
  </w:style>
  <w:style w:type="paragraph" w:customStyle="1" w:styleId="24">
    <w:name w:val="一级条标题"/>
    <w:next w:val="20"/>
    <w:link w:val="25"/>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5">
    <w:name w:val="一级条标题 Char"/>
    <w:link w:val="24"/>
    <w:qFormat/>
    <w:uiPriority w:val="0"/>
    <w:rPr>
      <w:rFonts w:ascii="黑体" w:hAnsi="Times New Roman" w:eastAsia="黑体"/>
      <w:sz w:val="21"/>
      <w:szCs w:val="21"/>
      <w:lang w:bidi="ar-SA"/>
    </w:rPr>
  </w:style>
  <w:style w:type="paragraph" w:customStyle="1" w:styleId="26">
    <w:name w:val="三级条标题"/>
    <w:basedOn w:val="23"/>
    <w:next w:val="20"/>
    <w:qFormat/>
    <w:uiPriority w:val="0"/>
    <w:pPr>
      <w:spacing w:line="240" w:lineRule="auto"/>
      <w:outlineLvl w:val="4"/>
    </w:pPr>
  </w:style>
  <w:style w:type="paragraph" w:customStyle="1" w:styleId="27">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8">
    <w:name w:val="四级条标题"/>
    <w:basedOn w:val="26"/>
    <w:next w:val="20"/>
    <w:qFormat/>
    <w:uiPriority w:val="0"/>
    <w:pPr>
      <w:spacing w:beforeLines="0" w:afterLines="0"/>
      <w:jc w:val="both"/>
      <w:outlineLvl w:val="5"/>
    </w:pPr>
    <w:rPr>
      <w:szCs w:val="20"/>
    </w:rPr>
  </w:style>
  <w:style w:type="paragraph" w:customStyle="1" w:styleId="29">
    <w:name w:val="五级条标题"/>
    <w:basedOn w:val="28"/>
    <w:next w:val="20"/>
    <w:qFormat/>
    <w:uiPriority w:val="0"/>
    <w:pPr>
      <w:outlineLvl w:val="6"/>
    </w:pPr>
  </w:style>
  <w:style w:type="paragraph" w:customStyle="1" w:styleId="30">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1">
    <w:name w:val="正文表标题"/>
    <w:next w:val="20"/>
    <w:qFormat/>
    <w:uiPriority w:val="0"/>
    <w:pPr>
      <w:tabs>
        <w:tab w:val="left" w:pos="36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4">
    <w:name w:val="二级无"/>
    <w:basedOn w:val="23"/>
    <w:link w:val="44"/>
    <w:qFormat/>
    <w:uiPriority w:val="0"/>
    <w:pPr>
      <w:spacing w:beforeLines="0" w:afterLines="0"/>
    </w:pPr>
    <w:rPr>
      <w:rFonts w:ascii="宋体" w:eastAsia="宋体"/>
    </w:rPr>
  </w:style>
  <w:style w:type="paragraph" w:customStyle="1" w:styleId="35">
    <w:name w:val="字母编号列项（一级）"/>
    <w:link w:val="39"/>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6">
    <w:name w:val="一级无"/>
    <w:basedOn w:val="24"/>
    <w:qFormat/>
    <w:uiPriority w:val="0"/>
    <w:pPr>
      <w:spacing w:beforeLines="0" w:afterLines="0"/>
    </w:pPr>
    <w:rPr>
      <w:rFonts w:ascii="宋体" w:eastAsia="宋体"/>
    </w:rPr>
  </w:style>
  <w:style w:type="paragraph" w:customStyle="1" w:styleId="37">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3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character" w:customStyle="1" w:styleId="39">
    <w:name w:val="字母编号列项（一级） Char"/>
    <w:link w:val="35"/>
    <w:qFormat/>
    <w:uiPriority w:val="0"/>
    <w:rPr>
      <w:rFonts w:ascii="宋体"/>
      <w:sz w:val="21"/>
    </w:rPr>
  </w:style>
  <w:style w:type="paragraph" w:customStyle="1" w:styleId="40">
    <w:name w:val="注："/>
    <w:next w:val="20"/>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41">
    <w:name w:val="注：（正文）"/>
    <w:basedOn w:val="40"/>
    <w:next w:val="20"/>
    <w:qFormat/>
    <w:uiPriority w:val="0"/>
  </w:style>
  <w:style w:type="character" w:customStyle="1" w:styleId="42">
    <w:name w:val="fontstyle01"/>
    <w:qFormat/>
    <w:uiPriority w:val="0"/>
    <w:rPr>
      <w:rFonts w:ascii="宋体" w:eastAsia="宋体"/>
      <w:color w:val="000000"/>
      <w:sz w:val="22"/>
      <w:szCs w:val="22"/>
    </w:rPr>
  </w:style>
  <w:style w:type="character" w:customStyle="1" w:styleId="43">
    <w:name w:val="标题 1 字符"/>
    <w:basedOn w:val="10"/>
    <w:link w:val="2"/>
    <w:uiPriority w:val="0"/>
    <w:rPr>
      <w:rFonts w:ascii="Calibri" w:hAnsi="Calibri" w:cs="Arial"/>
      <w:b/>
      <w:bCs/>
      <w:color w:val="000000"/>
      <w:kern w:val="44"/>
      <w:sz w:val="32"/>
      <w:szCs w:val="44"/>
    </w:rPr>
  </w:style>
  <w:style w:type="character" w:customStyle="1" w:styleId="44">
    <w:name w:val="二级无 Char"/>
    <w:basedOn w:val="10"/>
    <w:link w:val="34"/>
    <w:uiPriority w:val="0"/>
    <w:rPr>
      <w:rFonts w:asci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oleObject" Target="embeddings/oleObject3.bin"/><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130C3-C904-442A-B582-DEC3E8567E4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1718</Words>
  <Characters>9794</Characters>
  <Lines>81</Lines>
  <Paragraphs>22</Paragraphs>
  <TotalTime>1</TotalTime>
  <ScaleCrop>false</ScaleCrop>
  <LinksUpToDate>false</LinksUpToDate>
  <CharactersWithSpaces>11490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2020-09-18T05:54:00Z</dcterms:created>
  <dc:creator>pc</dc:creator>
  <cp:lastModifiedBy>gg</cp:lastModifiedBy>
  <cp:lastPrinted>2020-09-18T09:03:00Z</cp:lastPrinted>
  <dcterms:modified xsi:type="dcterms:W3CDTF">2021-03-03T02:07:09Z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